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C67CCB">
                    <w:rPr>
                      <w:rFonts w:ascii="Times New Roman" w:hAnsi="Times New Roman" w:cs="Times New Roman"/>
                      <w:lang w:val="en-US"/>
                    </w:rPr>
                    <w:t>29</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BF616F">
                    <w:rPr>
                      <w:rFonts w:ascii="Times New Roman" w:hAnsi="Times New Roman" w:cs="Times New Roman"/>
                    </w:rPr>
                    <w:t>лютого</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CE07AB" w:rsidRDefault="00CE07AB" w:rsidP="000F49DC">
      <w:pPr>
        <w:jc w:val="center"/>
        <w:rPr>
          <w:lang w:val="uk-UA"/>
        </w:rPr>
      </w:pPr>
    </w:p>
    <w:p w:rsidR="00A96805" w:rsidRPr="0019630A" w:rsidRDefault="00CE07AB" w:rsidP="00A96805">
      <w:pPr>
        <w:ind w:firstLine="1134"/>
        <w:jc w:val="center"/>
        <w:rPr>
          <w:color w:val="000000" w:themeColor="text1"/>
          <w:lang w:val="uk-UA"/>
        </w:rPr>
      </w:pPr>
      <w:r w:rsidRPr="00B04B23">
        <w:rPr>
          <w:color w:val="000000" w:themeColor="text1"/>
          <w:lang w:val="uk-UA"/>
        </w:rPr>
        <w:t xml:space="preserve">Код ДК 021:2015 - </w:t>
      </w:r>
      <w:r w:rsidRPr="00B04B23">
        <w:t>15830000-5 Цукор і супутня продукція</w:t>
      </w:r>
      <w:r w:rsidRPr="00B04B23">
        <w:rPr>
          <w:lang w:val="uk-UA"/>
        </w:rPr>
        <w:t>.</w:t>
      </w:r>
    </w:p>
    <w:p w:rsidR="005711D2" w:rsidRPr="00A96805" w:rsidRDefault="005711D2" w:rsidP="005711D2">
      <w:pPr>
        <w:ind w:firstLine="1134"/>
        <w:jc w:val="center"/>
        <w:rPr>
          <w:lang w:val="uk-UA"/>
        </w:rPr>
      </w:pP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CE07AB" w:rsidRDefault="005407E6" w:rsidP="005711D2">
      <w:pPr>
        <w:rPr>
          <w:b/>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A96805"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670B2" w:rsidRPr="0019630A" w:rsidRDefault="00CE07AB" w:rsidP="000670B2">
            <w:pPr>
              <w:rPr>
                <w:color w:val="000000" w:themeColor="text1"/>
                <w:lang w:val="uk-UA"/>
              </w:rPr>
            </w:pPr>
            <w:r w:rsidRPr="00B04B23">
              <w:rPr>
                <w:color w:val="000000" w:themeColor="text1"/>
                <w:lang w:val="uk-UA"/>
              </w:rPr>
              <w:t xml:space="preserve">Код ДК 021:2015 - </w:t>
            </w:r>
            <w:r w:rsidRPr="00B04B23">
              <w:t>15830000-5 Цукор і супутня продукція</w:t>
            </w:r>
            <w:r w:rsidRPr="00B04B23">
              <w:rPr>
                <w:lang w:val="uk-UA"/>
              </w:rPr>
              <w:t>.</w:t>
            </w:r>
          </w:p>
          <w:p w:rsidR="002167B4" w:rsidRPr="000670B2"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616F">
              <w:rPr>
                <w:lang w:val="uk-UA"/>
              </w:rPr>
              <w:t>Україна</w:t>
            </w:r>
          </w:p>
          <w:p w:rsidR="00690CBD" w:rsidRPr="00CE07AB" w:rsidRDefault="00CE07AB" w:rsidP="00690CBD">
            <w:pPr>
              <w:rPr>
                <w:lang w:val="uk-UA"/>
              </w:rPr>
            </w:pPr>
            <w:r>
              <w:t>Цукор ваговий</w:t>
            </w:r>
            <w:r>
              <w:rPr>
                <w:shd w:val="clear" w:color="auto" w:fill="FFFFFF"/>
                <w:lang w:val="uk-UA"/>
              </w:rPr>
              <w:t xml:space="preserve"> – 13500 кг.</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607715" w:rsidRPr="00F65413" w:rsidRDefault="00607715" w:rsidP="00607715">
            <w:pPr>
              <w:jc w:val="both"/>
              <w:rPr>
                <w:b/>
                <w:lang w:val="uk-UA"/>
              </w:rPr>
            </w:pPr>
          </w:p>
          <w:p w:rsidR="00EE029C" w:rsidRPr="000F49DC" w:rsidRDefault="00EE029C" w:rsidP="009D3C48">
            <w:pPr>
              <w:jc w:val="both"/>
              <w:rPr>
                <w:lang w:val="uk-UA"/>
              </w:rPr>
            </w:pPr>
          </w:p>
        </w:tc>
      </w:tr>
      <w:tr w:rsidR="002D5DBF" w:rsidRPr="00C67CCB"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C67CCB">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C67CCB">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C67CCB">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CE07AB"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 xml:space="preserve">пункту </w:t>
            </w:r>
            <w:r w:rsidRPr="00CD5280">
              <w:rPr>
                <w:rFonts w:cstheme="minorHAnsi"/>
                <w:color w:val="000000" w:themeColor="text1"/>
                <w:shd w:val="solid" w:color="FFFFFF" w:fill="FFFFFF"/>
                <w:lang w:val="uk-UA"/>
              </w:rPr>
              <w:lastRenderedPageBreak/>
              <w:t>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w:t>
            </w:r>
            <w:r w:rsidRPr="005A0DCF">
              <w:rPr>
                <w:color w:val="000000" w:themeColor="text1"/>
                <w:lang w:val="uk-UA"/>
              </w:rPr>
              <w:lastRenderedPageBreak/>
              <w:t xml:space="preserve">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CE07AB"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A96805"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690CBD" w:rsidRPr="00A96805" w:rsidRDefault="00690CBD"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690CBD"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EE35C0" w:rsidRPr="005878C4" w:rsidRDefault="00EE35C0" w:rsidP="00EE35C0">
            <w:pPr>
              <w:jc w:val="both"/>
              <w:rPr>
                <w:lang w:val="uk-UA"/>
              </w:rPr>
            </w:pPr>
            <w:r w:rsidRPr="005878C4">
              <w:rPr>
                <w:lang w:val="uk-UA"/>
              </w:rPr>
              <w:t>Відповідність предмета закупівлі:</w:t>
            </w:r>
          </w:p>
          <w:p w:rsidR="00CE07AB" w:rsidRPr="00AC1ECB" w:rsidRDefault="00CE07AB" w:rsidP="00CE07AB">
            <w:pPr>
              <w:jc w:val="both"/>
            </w:pPr>
            <w:r w:rsidRPr="00CB460F">
              <w:t xml:space="preserve">Цукор </w:t>
            </w:r>
            <w:r w:rsidRPr="00CB460F">
              <w:rPr>
                <w:b/>
              </w:rPr>
              <w:t>–</w:t>
            </w:r>
            <w:r w:rsidRPr="00CB460F">
              <w:t xml:space="preserve"> відповідність пр</w:t>
            </w:r>
            <w:r>
              <w:t>едмета закупівлі  ДСТУ 4623</w:t>
            </w:r>
            <w:r>
              <w:rPr>
                <w:lang w:val="uk-UA"/>
              </w:rPr>
              <w:t>:2023</w:t>
            </w:r>
            <w:r w:rsidRPr="00CB460F">
              <w:t>.</w:t>
            </w:r>
            <w:r w:rsidRPr="00AC1ECB">
              <w:t xml:space="preserve"> </w:t>
            </w:r>
          </w:p>
          <w:p w:rsidR="00463487" w:rsidRPr="00CE07AB" w:rsidRDefault="00463487" w:rsidP="000670B2">
            <w:pPr>
              <w:ind w:firstLine="284"/>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C67CCB">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0670B2">
              <w:rPr>
                <w:b/>
                <w:color w:val="000000" w:themeColor="text1"/>
                <w:lang w:val="uk-UA"/>
              </w:rPr>
              <w:t>13</w:t>
            </w:r>
            <w:r w:rsidR="00284C35" w:rsidRPr="007C4D0C">
              <w:rPr>
                <w:b/>
                <w:color w:val="000000" w:themeColor="text1"/>
              </w:rPr>
              <w:t>.</w:t>
            </w:r>
            <w:r w:rsidR="004158D0">
              <w:rPr>
                <w:b/>
                <w:color w:val="000000" w:themeColor="text1"/>
                <w:lang w:val="uk-UA"/>
              </w:rPr>
              <w:t>0</w:t>
            </w:r>
            <w:r w:rsidR="000670B2">
              <w:rPr>
                <w:b/>
                <w:color w:val="000000" w:themeColor="text1"/>
                <w:lang w:val="uk-UA"/>
              </w:rPr>
              <w:t>3</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 xml:space="preserve">статті </w:t>
            </w:r>
            <w:r w:rsidRPr="00C376F5">
              <w:rPr>
                <w:color w:val="000000" w:themeColor="text1"/>
                <w:shd w:val="clear" w:color="auto" w:fill="FFFFFF"/>
              </w:rPr>
              <w:lastRenderedPageBreak/>
              <w:t>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w:t>
            </w:r>
            <w:r w:rsidRPr="00807169">
              <w:rPr>
                <w:color w:val="000000" w:themeColor="text1"/>
                <w:lang w:val="uk-UA"/>
              </w:rPr>
              <w:lastRenderedPageBreak/>
              <w:t>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00FC6015" w:rsidRPr="00807169">
              <w:rPr>
                <w:color w:val="000000" w:themeColor="text1"/>
                <w:shd w:val="clear" w:color="auto" w:fill="FFFFFF"/>
              </w:rPr>
              <w:lastRenderedPageBreak/>
              <w:t>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00DB1F7F" w:rsidRPr="00807169">
              <w:rPr>
                <w:color w:val="000000" w:themeColor="text1"/>
                <w:lang w:val="uk-UA" w:eastAsia="uk-UA"/>
              </w:rPr>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9A2866" w:rsidRDefault="009A2866"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302CA0">
              <w:rPr>
                <w:color w:val="000000" w:themeColor="text1"/>
                <w:shd w:val="clear" w:color="auto" w:fill="FFFFFF"/>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r w:rsidRPr="00D1720A">
              <w:rPr>
                <w:color w:val="000000" w:themeColor="text1"/>
                <w:lang w:val="uk-UA"/>
              </w:rPr>
              <w:t>2) тендерна пропозиція: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D1720A">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D1720A">
                <w:rPr>
                  <w:rStyle w:val="af1"/>
                  <w:color w:val="000000" w:themeColor="text1"/>
                  <w:lang w:val="uk-UA"/>
                </w:rPr>
                <w:t>пункту 43</w:t>
              </w:r>
            </w:hyperlink>
            <w:r w:rsidRPr="00807169">
              <w:rPr>
                <w:rStyle w:val="apple-converted-space"/>
                <w:color w:val="000000" w:themeColor="text1"/>
              </w:rPr>
              <w:t> </w:t>
            </w:r>
            <w:r w:rsidRPr="00D1720A">
              <w:rPr>
                <w:color w:val="000000" w:themeColor="text1"/>
                <w:lang w:val="uk-UA"/>
              </w:rPr>
              <w:t>цих особливостей;</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D1720A">
              <w:rPr>
                <w:color w:val="000000" w:themeColor="text1"/>
                <w:lang w:val="uk-UA"/>
              </w:rPr>
              <w:t>є такою, строк дії якої закінчився;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D1720A">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 xml:space="preserve">Замовник може відхилити тендерну пропозицію із зазначенням аргументації в електронній системі закупівель у </w:t>
            </w:r>
            <w:r w:rsidR="0032626D" w:rsidRPr="00807169">
              <w:rPr>
                <w:color w:val="000000" w:themeColor="text1"/>
              </w:rPr>
              <w:lastRenderedPageBreak/>
              <w:t>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 xml:space="preserve">У разі відміни відкритих торгів замовник протягом одного </w:t>
            </w:r>
            <w:r w:rsidRPr="00807169">
              <w:rPr>
                <w:color w:val="000000" w:themeColor="text1"/>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807169">
              <w:rPr>
                <w:color w:val="000000" w:themeColor="text1"/>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закупівлю у разі коливання ціни такого товару на ринку, що </w:t>
            </w:r>
            <w:r w:rsidRPr="00807169">
              <w:rPr>
                <w:color w:val="000000" w:themeColor="text1"/>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 xml:space="preserve">Дії замовника при відмові переможця </w:t>
            </w:r>
            <w:r w:rsidRPr="00807169">
              <w:rPr>
                <w:lang w:eastAsia="uk-UA"/>
              </w:rPr>
              <w:lastRenderedPageBreak/>
              <w:t>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lastRenderedPageBreak/>
              <w:t xml:space="preserve">У разі відмови переможця процедури закупівлі від підписання договору про закупівлю відповідно до вимог тендерної </w:t>
            </w:r>
            <w:r>
              <w:rPr>
                <w:bdr w:val="none" w:sz="0" w:space="0" w:color="auto" w:frame="1"/>
              </w:rPr>
              <w:lastRenderedPageBreak/>
              <w:t>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CE07AB" w:rsidRDefault="001C1884" w:rsidP="00CE07AB">
      <w:pPr>
        <w:ind w:firstLine="1134"/>
        <w:jc w:val="both"/>
        <w:rPr>
          <w:color w:val="000000" w:themeColor="text1"/>
          <w:lang w:val="uk-UA"/>
        </w:rPr>
      </w:pPr>
      <w:r>
        <w:rPr>
          <w:lang w:val="uk-UA"/>
        </w:rPr>
        <w:t xml:space="preserve">   </w:t>
      </w:r>
      <w:r w:rsidR="004158D0">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00CE07AB" w:rsidRPr="00B04B23">
        <w:rPr>
          <w:color w:val="000000" w:themeColor="text1"/>
          <w:lang w:val="uk-UA"/>
        </w:rPr>
        <w:t xml:space="preserve">Код ДК 021:2015 - </w:t>
      </w:r>
      <w:r w:rsidR="00CE07AB" w:rsidRPr="00CE07AB">
        <w:rPr>
          <w:lang w:val="uk-UA"/>
        </w:rPr>
        <w:t>15830000-5 Цукор і супутня продукція</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CE07AB" w:rsidRDefault="00553BEE" w:rsidP="00CE07AB">
      <w:pPr>
        <w:jc w:val="both"/>
        <w:rPr>
          <w:color w:val="000000" w:themeColor="text1"/>
          <w:lang w:val="uk-UA"/>
        </w:rPr>
      </w:pPr>
      <w:r w:rsidRPr="00620FB8">
        <w:rPr>
          <w:color w:val="000000" w:themeColor="text1"/>
          <w:lang w:val="uk-UA"/>
        </w:rPr>
        <w:t xml:space="preserve">1.1. Продавець зобов’язується поставити </w:t>
      </w:r>
      <w:r w:rsidR="00CE07AB" w:rsidRPr="00B04B23">
        <w:rPr>
          <w:color w:val="000000" w:themeColor="text1"/>
          <w:lang w:val="uk-UA"/>
        </w:rPr>
        <w:t xml:space="preserve">Код ДК 021:2015 - </w:t>
      </w:r>
      <w:r w:rsidR="00CE07AB" w:rsidRPr="00B04B23">
        <w:t>15830000-5 Цукор і супутня продукція</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lastRenderedPageBreak/>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w:t>
      </w:r>
      <w:r w:rsidRPr="005B3F17">
        <w:rPr>
          <w:rFonts w:ascii="Times New Roman" w:hAnsi="Times New Roman"/>
          <w:noProof/>
          <w:sz w:val="24"/>
          <w:szCs w:val="24"/>
        </w:rPr>
        <w:lastRenderedPageBreak/>
        <w:t>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w:t>
      </w:r>
      <w:r w:rsidRPr="005B3F17">
        <w:rPr>
          <w:lang w:val="uk-UA"/>
        </w:rPr>
        <w:lastRenderedPageBreak/>
        <w:t xml:space="preserve">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lastRenderedPageBreak/>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Default="00553BEE" w:rsidP="00906EB8">
            <w:pPr>
              <w:rPr>
                <w:bCs/>
                <w:lang w:val="uk-UA"/>
              </w:rPr>
            </w:pPr>
          </w:p>
          <w:p w:rsidR="002D57F5" w:rsidRPr="00690CBD" w:rsidRDefault="002D57F5" w:rsidP="00906EB8">
            <w:pPr>
              <w:rPr>
                <w:bCs/>
                <w:lang w:val="en-US"/>
              </w:rPr>
            </w:pPr>
          </w:p>
          <w:p w:rsidR="002D57F5" w:rsidRDefault="002D57F5" w:rsidP="00906EB8">
            <w:pPr>
              <w:rPr>
                <w:bCs/>
                <w:lang w:val="uk-UA"/>
              </w:rPr>
            </w:pPr>
          </w:p>
          <w:p w:rsidR="002D57F5" w:rsidRPr="00EE35C0" w:rsidRDefault="002D57F5"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2D57F5" w:rsidRDefault="00553BEE" w:rsidP="002D57F5">
            <w:pPr>
              <w:tabs>
                <w:tab w:val="left" w:pos="2006"/>
              </w:tabs>
              <w:rPr>
                <w:lang w:val="uk-UA"/>
              </w:rPr>
            </w:pPr>
            <w:r w:rsidRPr="001A088F">
              <w:rPr>
                <w:color w:val="000000" w:themeColor="text1"/>
              </w:rPr>
              <w:t xml:space="preserve">________________   </w:t>
            </w: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F4AB9" w:rsidRDefault="003F4AB9" w:rsidP="00906EB8">
            <w:pPr>
              <w:pStyle w:val="21"/>
              <w:spacing w:after="0" w:line="240" w:lineRule="auto"/>
              <w:rPr>
                <w:bCs/>
                <w:lang w:val="en-US"/>
              </w:rPr>
            </w:pPr>
          </w:p>
          <w:p w:rsidR="00690CBD" w:rsidRPr="00690CBD" w:rsidRDefault="00690CBD" w:rsidP="00906EB8">
            <w:pPr>
              <w:pStyle w:val="21"/>
              <w:spacing w:after="0" w:line="240" w:lineRule="auto"/>
              <w:rPr>
                <w:bCs/>
                <w:lang w:val="en-US"/>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217E86" w:rsidRDefault="00217E86"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lastRenderedPageBreak/>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Default="00553BEE"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Default="000670B2" w:rsidP="00906EB8">
            <w:pPr>
              <w:pStyle w:val="21"/>
              <w:spacing w:after="0" w:line="240" w:lineRule="auto"/>
              <w:rPr>
                <w:bCs/>
                <w:color w:val="000000" w:themeColor="text1"/>
                <w:lang w:val="uk-UA"/>
              </w:rPr>
            </w:pPr>
          </w:p>
          <w:p w:rsidR="000670B2" w:rsidRPr="000549F1" w:rsidRDefault="000670B2" w:rsidP="00906EB8">
            <w:pPr>
              <w:pStyle w:val="21"/>
              <w:spacing w:after="0" w:line="240" w:lineRule="auto"/>
              <w:rPr>
                <w:bCs/>
                <w:color w:val="000000" w:themeColor="text1"/>
                <w:lang w:val="uk-UA"/>
              </w:rPr>
            </w:pPr>
          </w:p>
        </w:tc>
      </w:tr>
    </w:tbl>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CE07AB" w:rsidRPr="0019630A" w:rsidRDefault="00CE07AB" w:rsidP="00CE07AB">
      <w:pPr>
        <w:ind w:firstLine="1134"/>
        <w:jc w:val="center"/>
        <w:rPr>
          <w:color w:val="000000" w:themeColor="text1"/>
          <w:lang w:val="uk-UA"/>
        </w:rPr>
      </w:pPr>
      <w:r w:rsidRPr="00B04B23">
        <w:rPr>
          <w:color w:val="000000" w:themeColor="text1"/>
          <w:lang w:val="uk-UA"/>
        </w:rPr>
        <w:t xml:space="preserve">Код ДК 021:2015 - </w:t>
      </w:r>
      <w:r w:rsidRPr="00CE07AB">
        <w:rPr>
          <w:lang w:val="uk-UA"/>
        </w:rPr>
        <w:t>15830000-5 Цукор і супутня продукція</w:t>
      </w:r>
      <w:r w:rsidRPr="00B04B23">
        <w:rPr>
          <w:lang w:val="uk-UA"/>
        </w:rPr>
        <w:t>.</w:t>
      </w:r>
    </w:p>
    <w:p w:rsidR="000C36D3" w:rsidRPr="000670B2" w:rsidRDefault="000C36D3" w:rsidP="000C36D3">
      <w:pPr>
        <w:rPr>
          <w:color w:val="000000" w:themeColor="text1"/>
          <w:lang w:val="uk-UA"/>
        </w:rPr>
      </w:pPr>
    </w:p>
    <w:p w:rsidR="00CE07AB" w:rsidRDefault="00CE07AB" w:rsidP="00CE07AB">
      <w:pPr>
        <w:rPr>
          <w:color w:val="000000" w:themeColor="text1"/>
          <w:lang w:val="uk-UA"/>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701"/>
        <w:gridCol w:w="2410"/>
      </w:tblGrid>
      <w:tr w:rsidR="00CE07AB" w:rsidRPr="00F65413" w:rsidTr="002C4AFF">
        <w:trPr>
          <w:cantSplit/>
        </w:trPr>
        <w:tc>
          <w:tcPr>
            <w:tcW w:w="425" w:type="dxa"/>
          </w:tcPr>
          <w:p w:rsidR="00CE07AB" w:rsidRPr="00F65413" w:rsidRDefault="00CE07AB" w:rsidP="002C4AFF">
            <w:pPr>
              <w:ind w:left="-27" w:right="-135"/>
              <w:rPr>
                <w:bCs/>
                <w:lang w:val="uk-UA"/>
              </w:rPr>
            </w:pPr>
            <w:r w:rsidRPr="00F65413">
              <w:rPr>
                <w:bCs/>
                <w:lang w:val="uk-UA"/>
              </w:rPr>
              <w:t xml:space="preserve">№ </w:t>
            </w:r>
          </w:p>
        </w:tc>
        <w:tc>
          <w:tcPr>
            <w:tcW w:w="3686" w:type="dxa"/>
          </w:tcPr>
          <w:p w:rsidR="00CE07AB" w:rsidRPr="00F65413" w:rsidRDefault="00CE07AB" w:rsidP="002C4AFF">
            <w:pPr>
              <w:jc w:val="center"/>
              <w:rPr>
                <w:bCs/>
                <w:lang w:val="uk-UA"/>
              </w:rPr>
            </w:pPr>
            <w:r w:rsidRPr="00F65413">
              <w:rPr>
                <w:bCs/>
                <w:lang w:val="uk-UA"/>
              </w:rPr>
              <w:t>Найменування</w:t>
            </w:r>
            <w:r>
              <w:rPr>
                <w:bCs/>
                <w:lang w:val="uk-UA"/>
              </w:rPr>
              <w:t>*</w:t>
            </w:r>
          </w:p>
        </w:tc>
        <w:tc>
          <w:tcPr>
            <w:tcW w:w="1701" w:type="dxa"/>
          </w:tcPr>
          <w:p w:rsidR="00CE07AB" w:rsidRPr="00F65413" w:rsidRDefault="00CE07AB" w:rsidP="002C4AFF">
            <w:pPr>
              <w:jc w:val="center"/>
              <w:rPr>
                <w:bCs/>
                <w:lang w:val="uk-UA"/>
              </w:rPr>
            </w:pPr>
            <w:r w:rsidRPr="00F65413">
              <w:rPr>
                <w:bCs/>
                <w:lang w:val="uk-UA"/>
              </w:rPr>
              <w:t>Одиниця виміру</w:t>
            </w:r>
          </w:p>
        </w:tc>
        <w:tc>
          <w:tcPr>
            <w:tcW w:w="2410" w:type="dxa"/>
          </w:tcPr>
          <w:p w:rsidR="00CE07AB" w:rsidRPr="00F65413" w:rsidRDefault="00CE07AB" w:rsidP="002C4AFF">
            <w:pPr>
              <w:jc w:val="center"/>
              <w:rPr>
                <w:bCs/>
                <w:lang w:val="uk-UA"/>
              </w:rPr>
            </w:pPr>
            <w:r w:rsidRPr="00F65413">
              <w:rPr>
                <w:bCs/>
                <w:lang w:val="uk-UA"/>
              </w:rPr>
              <w:t>Кількість</w:t>
            </w:r>
          </w:p>
        </w:tc>
      </w:tr>
      <w:tr w:rsidR="00CE07AB" w:rsidRPr="00F65413" w:rsidTr="002C4AFF">
        <w:trPr>
          <w:cantSplit/>
        </w:trPr>
        <w:tc>
          <w:tcPr>
            <w:tcW w:w="425" w:type="dxa"/>
          </w:tcPr>
          <w:p w:rsidR="00CE07AB" w:rsidRPr="00903EF2" w:rsidRDefault="00CE07AB" w:rsidP="002C4AFF">
            <w:pPr>
              <w:ind w:left="-27" w:right="-135"/>
              <w:jc w:val="center"/>
              <w:rPr>
                <w:bCs/>
                <w:lang w:val="en-US"/>
              </w:rPr>
            </w:pPr>
            <w:r>
              <w:rPr>
                <w:bCs/>
                <w:lang w:val="en-US"/>
              </w:rPr>
              <w:t>1</w:t>
            </w:r>
          </w:p>
        </w:tc>
        <w:tc>
          <w:tcPr>
            <w:tcW w:w="3686" w:type="dxa"/>
          </w:tcPr>
          <w:p w:rsidR="00CE07AB" w:rsidRPr="00932408" w:rsidRDefault="00CE07AB" w:rsidP="002C4AFF">
            <w:pPr>
              <w:rPr>
                <w:bCs/>
                <w:lang w:val="uk-UA"/>
              </w:rPr>
            </w:pPr>
            <w:r>
              <w:t>Цукор ваговий</w:t>
            </w:r>
          </w:p>
        </w:tc>
        <w:tc>
          <w:tcPr>
            <w:tcW w:w="1701" w:type="dxa"/>
            <w:vAlign w:val="center"/>
          </w:tcPr>
          <w:p w:rsidR="00CE07AB" w:rsidRPr="00C57540" w:rsidRDefault="00CE07AB" w:rsidP="002C4AFF">
            <w:pPr>
              <w:jc w:val="center"/>
              <w:rPr>
                <w:lang w:val="uk-UA"/>
              </w:rPr>
            </w:pPr>
            <w:r>
              <w:rPr>
                <w:lang w:val="uk-UA"/>
              </w:rPr>
              <w:t>кг</w:t>
            </w:r>
            <w:r w:rsidRPr="00C57540">
              <w:rPr>
                <w:lang w:val="uk-UA"/>
              </w:rPr>
              <w:t>.</w:t>
            </w:r>
          </w:p>
        </w:tc>
        <w:tc>
          <w:tcPr>
            <w:tcW w:w="2410" w:type="dxa"/>
          </w:tcPr>
          <w:p w:rsidR="00CE07AB" w:rsidRPr="00903EF2" w:rsidRDefault="00CE07AB" w:rsidP="002C4AFF">
            <w:pPr>
              <w:jc w:val="center"/>
              <w:rPr>
                <w:bCs/>
                <w:lang w:val="en-US"/>
              </w:rPr>
            </w:pPr>
            <w:r>
              <w:rPr>
                <w:bCs/>
                <w:lang w:val="uk-UA"/>
              </w:rPr>
              <w:t>13500</w:t>
            </w:r>
          </w:p>
        </w:tc>
      </w:tr>
    </w:tbl>
    <w:p w:rsidR="00CE07AB" w:rsidRDefault="00CE07AB" w:rsidP="00CE07AB">
      <w:pPr>
        <w:rPr>
          <w:rStyle w:val="af9"/>
          <w:i w:val="0"/>
          <w:color w:val="000000" w:themeColor="text1"/>
          <w:lang w:val="uk-UA"/>
        </w:rPr>
      </w:pPr>
    </w:p>
    <w:p w:rsidR="00CE07AB" w:rsidRPr="002C3ACE" w:rsidRDefault="00CE07AB" w:rsidP="00CE07AB">
      <w:pPr>
        <w:pStyle w:val="aa"/>
        <w:shd w:val="clear" w:color="auto" w:fill="FFFFFF"/>
        <w:tabs>
          <w:tab w:val="left" w:pos="6379"/>
        </w:tabs>
        <w:ind w:left="0"/>
        <w:jc w:val="both"/>
        <w:rPr>
          <w:color w:val="000000" w:themeColor="text1"/>
          <w:lang w:val="uk-UA"/>
        </w:rPr>
      </w:pPr>
    </w:p>
    <w:p w:rsidR="00CE07AB" w:rsidRPr="00AC1ECB" w:rsidRDefault="00CE07AB" w:rsidP="00CE07AB">
      <w:pPr>
        <w:jc w:val="both"/>
      </w:pPr>
      <w:r>
        <w:rPr>
          <w:b/>
          <w:lang w:val="uk-UA"/>
        </w:rPr>
        <w:t xml:space="preserve">       *</w:t>
      </w:r>
      <w:r w:rsidRPr="00CB460F">
        <w:rPr>
          <w:b/>
        </w:rPr>
        <w:t>Цукор –</w:t>
      </w:r>
      <w:r w:rsidRPr="00AC1ECB">
        <w:t xml:space="preserve"> відповідність пр</w:t>
      </w:r>
      <w:r>
        <w:t>едмета закупівлі  ДСТУ 4623</w:t>
      </w:r>
      <w:r>
        <w:rPr>
          <w:lang w:val="uk-UA"/>
        </w:rPr>
        <w:t>:2023</w:t>
      </w:r>
      <w:r w:rsidRPr="00AC1ECB">
        <w:t xml:space="preserve">. </w:t>
      </w:r>
    </w:p>
    <w:p w:rsidR="00CE07AB" w:rsidRPr="00AC1ECB" w:rsidRDefault="00CE07AB" w:rsidP="00CE07AB">
      <w:pPr>
        <w:ind w:left="567"/>
        <w:jc w:val="both"/>
      </w:pPr>
      <w:r w:rsidRPr="00AC1ECB">
        <w:t xml:space="preserve">Цукор кристалічний. </w:t>
      </w:r>
    </w:p>
    <w:p w:rsidR="00CE07AB" w:rsidRPr="00AC1ECB" w:rsidRDefault="00CE07AB" w:rsidP="00CE07AB">
      <w:pPr>
        <w:ind w:left="567"/>
        <w:jc w:val="both"/>
      </w:pPr>
      <w:r w:rsidRPr="00AC1ECB">
        <w:t>Зовнішній вигляд: білий, чистий без плям і сторонніх домішок. Сипкий без грудочок.</w:t>
      </w:r>
    </w:p>
    <w:p w:rsidR="00CE07AB" w:rsidRPr="00AC1ECB" w:rsidRDefault="00CE07AB" w:rsidP="00CE07AB">
      <w:pPr>
        <w:ind w:left="567"/>
        <w:jc w:val="both"/>
      </w:pPr>
      <w:r w:rsidRPr="00AC1ECB">
        <w:t>Смак і запах: солодкий без стороннього запаху і присмаку.</w:t>
      </w:r>
    </w:p>
    <w:p w:rsidR="00CE07AB" w:rsidRPr="00AC1ECB" w:rsidRDefault="00CE07AB" w:rsidP="00CE07AB">
      <w:pPr>
        <w:ind w:firstLine="567"/>
        <w:jc w:val="both"/>
      </w:pPr>
      <w:r w:rsidRPr="00AC1ECB">
        <w:t>Якість, тара, упаковка  по</w:t>
      </w:r>
      <w:r>
        <w:t>винні відповідати ДСТУ 4623</w:t>
      </w:r>
      <w:r>
        <w:rPr>
          <w:lang w:val="uk-UA"/>
        </w:rPr>
        <w:t>:2023</w:t>
      </w:r>
      <w:r w:rsidRPr="00AC1ECB">
        <w:t>. Упаковка в мішки не більш 50 кг. Товар повинен мати залишковий термін придатності не менше 75% від передбаченого ДСТУ строку зберігання товару.</w:t>
      </w:r>
    </w:p>
    <w:p w:rsidR="00CE07AB" w:rsidRPr="003D58E5" w:rsidRDefault="00CE07AB" w:rsidP="00CE07AB">
      <w:pPr>
        <w:ind w:left="567"/>
        <w:rPr>
          <w:lang w:eastAsia="ar-SA"/>
        </w:rPr>
      </w:pPr>
      <w:r w:rsidRPr="00AC1ECB">
        <w:t>Поставка товару – один раз на квартал.</w:t>
      </w:r>
    </w:p>
    <w:p w:rsidR="00690CBD" w:rsidRPr="00CE07AB" w:rsidRDefault="00690CBD" w:rsidP="00EF754E">
      <w:pPr>
        <w:jc w:val="both"/>
      </w:pPr>
    </w:p>
    <w:p w:rsidR="000670B2" w:rsidRDefault="000670B2"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0670B2" w:rsidRDefault="000670B2" w:rsidP="00EF754E">
      <w:pPr>
        <w:jc w:val="both"/>
        <w:rPr>
          <w:lang w:val="uk-UA"/>
        </w:rPr>
      </w:pPr>
    </w:p>
    <w:p w:rsidR="00CE07AB" w:rsidRDefault="00CE07AB" w:rsidP="00EF754E">
      <w:pPr>
        <w:jc w:val="both"/>
        <w:rPr>
          <w:lang w:val="uk-UA"/>
        </w:rPr>
      </w:pPr>
    </w:p>
    <w:p w:rsidR="00CE07AB" w:rsidRDefault="00CE07AB" w:rsidP="00EF754E">
      <w:pPr>
        <w:jc w:val="both"/>
        <w:rPr>
          <w:lang w:val="uk-UA"/>
        </w:rPr>
      </w:pPr>
    </w:p>
    <w:p w:rsidR="000670B2" w:rsidRPr="000670B2" w:rsidRDefault="000670B2" w:rsidP="00EF754E">
      <w:pPr>
        <w:jc w:val="both"/>
        <w:rPr>
          <w:lang w:val="uk-UA"/>
        </w:rPr>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690CBD" w:rsidRPr="00690CBD" w:rsidRDefault="00690CBD" w:rsidP="00A34E70">
      <w:pPr>
        <w:tabs>
          <w:tab w:val="num" w:pos="360"/>
        </w:tabs>
        <w:rPr>
          <w:rStyle w:val="af1"/>
          <w:rFonts w:eastAsia="Courier New"/>
          <w:b/>
          <w:bCs/>
          <w:color w:val="auto"/>
          <w:lang w:val="en-US"/>
        </w:rPr>
      </w:pPr>
    </w:p>
    <w:p w:rsidR="00690CBD" w:rsidRDefault="00690CBD" w:rsidP="00A34E70">
      <w:pPr>
        <w:tabs>
          <w:tab w:val="num" w:pos="360"/>
        </w:tabs>
        <w:rPr>
          <w:rStyle w:val="af1"/>
          <w:rFonts w:eastAsia="Courier New"/>
          <w:b/>
          <w:bCs/>
          <w:color w:val="auto"/>
          <w:lang w:val="en-US"/>
        </w:rPr>
      </w:pPr>
    </w:p>
    <w:p w:rsidR="00690CBD" w:rsidRPr="00690CBD" w:rsidRDefault="00690CBD" w:rsidP="00A34E70">
      <w:pPr>
        <w:tabs>
          <w:tab w:val="num" w:pos="360"/>
        </w:tabs>
        <w:rPr>
          <w:rStyle w:val="af1"/>
          <w:rFonts w:eastAsia="Courier New"/>
          <w:b/>
          <w:bCs/>
          <w:color w:val="auto"/>
          <w:lang w:val="en-US"/>
        </w:rPr>
      </w:pPr>
    </w:p>
    <w:p w:rsidR="003D3269" w:rsidRDefault="003D3269"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en-US"/>
        </w:rPr>
      </w:pPr>
    </w:p>
    <w:p w:rsidR="00690CBD" w:rsidRDefault="00690CBD" w:rsidP="00A34E70">
      <w:pPr>
        <w:jc w:val="right"/>
        <w:rPr>
          <w:b/>
          <w:lang w:val="en-US"/>
        </w:rPr>
      </w:pPr>
    </w:p>
    <w:p w:rsidR="00690CBD" w:rsidRDefault="00690CBD" w:rsidP="00A34E70">
      <w:pPr>
        <w:jc w:val="right"/>
        <w:rPr>
          <w:b/>
          <w:lang w:val="en-US"/>
        </w:rPr>
      </w:pPr>
    </w:p>
    <w:p w:rsidR="00690CBD" w:rsidRPr="00690CBD" w:rsidRDefault="00690CBD" w:rsidP="00A34E70">
      <w:pPr>
        <w:jc w:val="right"/>
        <w:rPr>
          <w:b/>
          <w:lang w:val="en-US"/>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CE07AB" w:rsidRDefault="000E29F1" w:rsidP="00CE07AB">
      <w:pPr>
        <w:ind w:firstLine="1134"/>
        <w:jc w:val="center"/>
        <w:rPr>
          <w:color w:val="000000" w:themeColor="text1"/>
          <w:lang w:val="uk-UA"/>
        </w:rP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CE07AB" w:rsidRPr="00B04B23">
        <w:rPr>
          <w:color w:val="000000" w:themeColor="text1"/>
          <w:lang w:val="uk-UA"/>
        </w:rPr>
        <w:t xml:space="preserve">Код ДК 021:2015 - </w:t>
      </w:r>
      <w:r w:rsidR="00CE07AB" w:rsidRPr="00CE07AB">
        <w:rPr>
          <w:lang w:val="uk-UA"/>
        </w:rPr>
        <w:t>15830000-5 Цукор і супутня продукція</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352" w:rsidRDefault="00461352" w:rsidP="00AA7584">
      <w:r>
        <w:separator/>
      </w:r>
    </w:p>
  </w:endnote>
  <w:endnote w:type="continuationSeparator" w:id="1">
    <w:p w:rsidR="00461352" w:rsidRDefault="00461352"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352" w:rsidRDefault="00461352" w:rsidP="00AA7584">
      <w:r>
        <w:separator/>
      </w:r>
    </w:p>
  </w:footnote>
  <w:footnote w:type="continuationSeparator" w:id="1">
    <w:p w:rsidR="00461352" w:rsidRDefault="00461352"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3" w:rsidRDefault="00E25A80">
    <w:pPr>
      <w:pStyle w:val="a6"/>
      <w:jc w:val="center"/>
    </w:pPr>
    <w:fldSimple w:instr=" PAGE   \* MERGEFORMAT ">
      <w:r w:rsidR="00CE07AB">
        <w:rPr>
          <w:noProof/>
        </w:rPr>
        <w:t>31</w:t>
      </w:r>
    </w:fldSimple>
  </w:p>
  <w:p w:rsidR="000C36D3" w:rsidRDefault="000C3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0B2"/>
    <w:rsid w:val="0006724C"/>
    <w:rsid w:val="0007139D"/>
    <w:rsid w:val="00071BF3"/>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C36D3"/>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17E86"/>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7F5"/>
    <w:rsid w:val="002D5D89"/>
    <w:rsid w:val="002D5DBF"/>
    <w:rsid w:val="002E1042"/>
    <w:rsid w:val="002E11A4"/>
    <w:rsid w:val="002E155D"/>
    <w:rsid w:val="002E19B6"/>
    <w:rsid w:val="002E2D3E"/>
    <w:rsid w:val="002E547D"/>
    <w:rsid w:val="002E719C"/>
    <w:rsid w:val="002E748E"/>
    <w:rsid w:val="002F1DD0"/>
    <w:rsid w:val="002F1F22"/>
    <w:rsid w:val="002F239E"/>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1352"/>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0364"/>
    <w:rsid w:val="004A1635"/>
    <w:rsid w:val="004A1718"/>
    <w:rsid w:val="004A21DC"/>
    <w:rsid w:val="004A23A5"/>
    <w:rsid w:val="004A3382"/>
    <w:rsid w:val="004A4821"/>
    <w:rsid w:val="004A59DF"/>
    <w:rsid w:val="004A5B9B"/>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0CBD"/>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1D65"/>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B6F58"/>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476F8"/>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64D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866"/>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51EF"/>
    <w:rsid w:val="00A3607A"/>
    <w:rsid w:val="00A36E58"/>
    <w:rsid w:val="00A409AD"/>
    <w:rsid w:val="00A41C0D"/>
    <w:rsid w:val="00A46209"/>
    <w:rsid w:val="00A463BC"/>
    <w:rsid w:val="00A509DB"/>
    <w:rsid w:val="00A50C65"/>
    <w:rsid w:val="00A51032"/>
    <w:rsid w:val="00A52F7F"/>
    <w:rsid w:val="00A53CA9"/>
    <w:rsid w:val="00A53FF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96805"/>
    <w:rsid w:val="00AA088D"/>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9C9"/>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16F"/>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67CCB"/>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7AB"/>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20A"/>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25A8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11519</Words>
  <Characters>65662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77027</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2023-01-18T08:53:00Z</cp:lastPrinted>
  <dcterms:created xsi:type="dcterms:W3CDTF">2024-03-04T08:08:00Z</dcterms:created>
  <dcterms:modified xsi:type="dcterms:W3CDTF">2024-03-04T08:14:00Z</dcterms:modified>
</cp:coreProperties>
</file>