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9A5183" w:rsidRDefault="009A518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B6483" w:rsidRPr="009A5183" w:rsidRDefault="009A5183" w:rsidP="009A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виходячи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специфіки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6483" w:rsidRPr="009A5183" w:rsidRDefault="009A51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предмету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товару, у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9A5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B6483" w:rsidRPr="009A5183" w:rsidRDefault="009A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В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місцях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де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технічна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специфікація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містить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конкретні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марку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виробника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конкретний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процес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характеризує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продукт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послугу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певного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суб’єкта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господарювання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торгові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марки,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патенти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типи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конкретне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місце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походження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спосіб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виробництва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вважати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вираз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"</w:t>
      </w:r>
      <w:proofErr w:type="spellStart"/>
      <w:proofErr w:type="gram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еквівалент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".</w:t>
      </w:r>
    </w:p>
    <w:p w:rsidR="005B6483" w:rsidRPr="009A5183" w:rsidRDefault="009A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В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місцях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де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технічна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специфікація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містить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стандартні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регламенти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умови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вимоги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умовні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позначення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термінологію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пов’язані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послугами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закуповуються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передбачені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існуючими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міжнародними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європейськими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іншими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спільними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європейськими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нормами,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іншими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еталонними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визнаними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європейськими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органами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зі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стандартизації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національними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біля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вважати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вираз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«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еквівалент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». Таким чином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вважається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додається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вираз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«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еквівалент</w:t>
      </w:r>
      <w:proofErr w:type="spellEnd"/>
      <w:r w:rsidRPr="009A518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».</w:t>
      </w:r>
    </w:p>
    <w:p w:rsidR="005B6483" w:rsidRPr="009A5183" w:rsidRDefault="009A51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9A51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</w:p>
    <w:p w:rsidR="005B6483" w:rsidRDefault="009A5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Style w:val="af"/>
        <w:tblW w:w="947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11"/>
      </w:tblGrid>
      <w:tr w:rsidR="005B6483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енергія</w:t>
            </w:r>
            <w:proofErr w:type="spellEnd"/>
          </w:p>
        </w:tc>
      </w:tr>
      <w:tr w:rsidR="005B6483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ДК 021:2015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09310000-5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6483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кВт/год</w:t>
            </w:r>
          </w:p>
        </w:tc>
      </w:tr>
      <w:tr w:rsidR="005B6483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кВт/год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5D2337" w:rsidP="005D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75</w:t>
            </w:r>
            <w:r w:rsidR="00DA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00</w:t>
            </w:r>
          </w:p>
        </w:tc>
      </w:tr>
      <w:tr w:rsidR="005B6483">
        <w:trPr>
          <w:trHeight w:val="63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31.12.</w:t>
            </w:r>
            <w:r w:rsidR="00DA2F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6483" w:rsidRDefault="009A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Початком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дата,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</w:p>
        </w:tc>
      </w:tr>
    </w:tbl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товару:</w:t>
      </w:r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Полтавська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Соборна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А,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Соборна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Б,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вулиця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>Гетьманська</w:t>
      </w:r>
      <w:proofErr w:type="spellEnd"/>
      <w:r w:rsidR="00DA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6483" w:rsidRDefault="009A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560"/>
        </w:tabs>
        <w:spacing w:after="0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Кодексом систем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№ 310;</w:t>
      </w:r>
    </w:p>
    <w:p w:rsidR="005B6483" w:rsidRDefault="009A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560"/>
        </w:tabs>
        <w:spacing w:after="0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№ 309;</w:t>
      </w:r>
    </w:p>
    <w:p w:rsidR="005B6483" w:rsidRDefault="009A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560"/>
        </w:tabs>
        <w:spacing w:after="0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13.04.2017 № 2019-VIII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B6483" w:rsidRDefault="009A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560"/>
        </w:tabs>
        <w:spacing w:after="0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№ 312.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560"/>
        </w:tabs>
        <w:spacing w:after="0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товару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включити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регульованим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тарифом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е</w:t>
      </w:r>
      <w:r w:rsidR="0017266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нергії</w:t>
      </w:r>
      <w:proofErr w:type="spellEnd"/>
      <w:r w:rsidR="0017266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за </w:t>
      </w:r>
      <w:proofErr w:type="spellStart"/>
      <w:r w:rsidR="0017266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регульованим</w:t>
      </w:r>
      <w:proofErr w:type="spellEnd"/>
      <w:r w:rsidR="0017266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тарифом 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</w:pPr>
    </w:p>
    <w:p w:rsidR="00AB322B" w:rsidRPr="00AB322B" w:rsidRDefault="00AB322B" w:rsidP="00AB322B">
      <w:pPr>
        <w:numPr>
          <w:ilvl w:val="0"/>
          <w:numId w:val="3"/>
        </w:numPr>
        <w:suppressAutoHyphens w:val="0"/>
        <w:spacing w:after="0" w:line="240" w:lineRule="atLeast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uk-UA" w:bidi="uk-UA"/>
        </w:rPr>
      </w:pPr>
      <w:r w:rsidRPr="00AB322B">
        <w:rPr>
          <w:rFonts w:ascii="Times New Roman" w:eastAsia="Times New Roman" w:hAnsi="Times New Roman" w:cs="Times New Roman"/>
          <w:b/>
          <w:position w:val="0"/>
          <w:sz w:val="24"/>
          <w:szCs w:val="24"/>
          <w:u w:val="single"/>
          <w:lang w:val="uk-UA" w:eastAsia="uk-UA" w:bidi="uk-UA"/>
        </w:rPr>
        <w:t>Послуги з розподілу сплачуються Споживачем через Постачальника</w:t>
      </w:r>
      <w:r w:rsidRPr="00AB322B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uk-UA" w:bidi="uk-UA"/>
        </w:rPr>
        <w:t xml:space="preserve"> з наступним переведенням цієї оплати Постачальником оператору системи розподілу. Послуги з передачі сплачуються Споживачем через Постачальника з наступним переведенням цієї оплати Постачальником оператору системи передачі (Відповідно до п.1.2.6. постанови №312 від 14.03.2018 року -  Оператор системи, який здійснює розподіл (передачу) електричної енергії безпосередньо до електроустановок споживача, отримує плату за послуги з розподілу (передачі) електричної енергії або від споживача, або від </w:t>
      </w:r>
      <w:proofErr w:type="spellStart"/>
      <w:r w:rsidRPr="00AB322B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uk-UA" w:bidi="uk-UA"/>
        </w:rPr>
        <w:t>електропостачальника</w:t>
      </w:r>
      <w:proofErr w:type="spellEnd"/>
      <w:r w:rsidRPr="00AB322B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uk-UA" w:bidi="uk-UA"/>
        </w:rPr>
        <w:t xml:space="preserve"> за вибором споживача)</w:t>
      </w:r>
    </w:p>
    <w:p w:rsidR="005B6483" w:rsidRPr="00AB322B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val="uk-UA"/>
        </w:rPr>
      </w:pP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 – передача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поставленої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прийнятої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Споживачем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звітному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місяці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щомісячних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актів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.  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точках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ДСТУ 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50160:2014.Характеристики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(EN 50160:2010, IDT).</w:t>
      </w:r>
    </w:p>
    <w:p w:rsidR="005B6483" w:rsidRDefault="009A518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проміжку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годинам.</w:t>
      </w: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483" w:rsidRDefault="005B6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6483">
      <w:pgSz w:w="11906" w:h="16838"/>
      <w:pgMar w:top="850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8F3"/>
    <w:multiLevelType w:val="multilevel"/>
    <w:tmpl w:val="CE6A64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A762B2"/>
    <w:multiLevelType w:val="hybridMultilevel"/>
    <w:tmpl w:val="C7102AE6"/>
    <w:lvl w:ilvl="0" w:tplc="0AEC79F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ADB5AD6"/>
    <w:multiLevelType w:val="multilevel"/>
    <w:tmpl w:val="0D0023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83"/>
    <w:rsid w:val="00172665"/>
    <w:rsid w:val="004B786B"/>
    <w:rsid w:val="005B6483"/>
    <w:rsid w:val="005D2337"/>
    <w:rsid w:val="009A5183"/>
    <w:rsid w:val="00A6509D"/>
    <w:rsid w:val="00AB322B"/>
    <w:rsid w:val="00D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8C92-04CF-4153-A2CE-E084CA0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7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a7">
    <w:name w:val="Заголовок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Y5oDxS2Zsbcoz+Xg4q5t/wfCw==">AMUW2mU1BUmjyE9fQpxSmMEQzIZQmFF/QtOiulCJg515Ddqv2EqwR7my9Uo0/jv/lo//TtKBiLszB2mREHdMRAOCbro/Hlqf5uh6JL2/tNzK8LaWxzlxIUaQz3WuvwRai+WiPPPzNic5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3055</Words>
  <Characters>1742</Characters>
  <Application>Microsoft Office Word</Application>
  <DocSecurity>0</DocSecurity>
  <Lines>14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wks_07</cp:lastModifiedBy>
  <cp:revision>11</cp:revision>
  <dcterms:created xsi:type="dcterms:W3CDTF">2020-09-30T09:32:00Z</dcterms:created>
  <dcterms:modified xsi:type="dcterms:W3CDTF">2022-12-02T09:58:00Z</dcterms:modified>
</cp:coreProperties>
</file>