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47" w:rsidRPr="00F064FE" w:rsidRDefault="00411862" w:rsidP="00411862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64FE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411862" w:rsidRPr="00F064FE" w:rsidRDefault="00411862" w:rsidP="00411862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64FE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  <w:r w:rsidRPr="00F06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411862" w:rsidRPr="00946731" w:rsidRDefault="00411862" w:rsidP="0041186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064F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411862" w:rsidRDefault="00F064FE" w:rsidP="00F064FE">
      <w:pPr>
        <w:tabs>
          <w:tab w:val="left" w:pos="8130"/>
        </w:tabs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ab/>
      </w:r>
    </w:p>
    <w:p w:rsidR="00123DB1" w:rsidRDefault="00703461" w:rsidP="008E4D0A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ТЕХНІЧНІ ВИМОГИ</w:t>
      </w:r>
    </w:p>
    <w:p w:rsidR="006B2441" w:rsidRDefault="00755E71" w:rsidP="008E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комплект обшивки для облаштування екстер’єру та інтер’єру салону та кабіни трамвая, що підлягають встановленню при проведені капітально-відновлювального ремонту з переобладнанням трамвайних вагонів </w:t>
      </w:r>
      <w:proofErr w:type="spellStart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>Tatra</w:t>
      </w:r>
      <w:proofErr w:type="spellEnd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Т3 шляхом заміни </w:t>
      </w:r>
      <w:proofErr w:type="spellStart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>реостатно</w:t>
      </w:r>
      <w:proofErr w:type="spellEnd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proofErr w:type="spellStart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>контакторної</w:t>
      </w:r>
      <w:proofErr w:type="spellEnd"/>
      <w:r w:rsidRPr="00755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системи керування на транзисторну-імпульсну (ТІСК) згідно ДК021:2015 код 44430000-3 – Армована обшивка</w:t>
      </w:r>
    </w:p>
    <w:p w:rsidR="008E4D0A" w:rsidRDefault="008E4D0A" w:rsidP="008E4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Замовник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самостійно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визначає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необхідні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  </w:t>
      </w:r>
      <w:proofErr w:type="spellStart"/>
      <w:proofErr w:type="gram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</w:t>
      </w:r>
      <w:proofErr w:type="gram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ічні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характеристики предмета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виходячи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специфіки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предмета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керуючись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принципами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здійснення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закупівель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 з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дотриманням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законодавства</w:t>
      </w:r>
      <w:proofErr w:type="spellEnd"/>
      <w:r w:rsidRPr="000415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E4D0A" w:rsidRPr="008E4D0A" w:rsidRDefault="008E4D0A" w:rsidP="008E4D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8E4D0A" w:rsidRPr="00C34B28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</w:p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C34B28" w:rsidRDefault="00755E71" w:rsidP="0075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комплект обшивки для облаштування екстер’єру та інтер’єру салону та кабіни трамвая, що підлягають встановленню при проведені капітально-відновлювального ремонту з переобладнанням трамвайних вагонів </w:t>
            </w:r>
            <w:proofErr w:type="spellStart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Tatra</w:t>
            </w:r>
            <w:proofErr w:type="spellEnd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Т3 шляхом заміни </w:t>
            </w:r>
            <w:proofErr w:type="spellStart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реостатно</w:t>
            </w:r>
            <w:proofErr w:type="spellEnd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контакторної</w:t>
            </w:r>
            <w:proofErr w:type="spellEnd"/>
            <w:r w:rsidRPr="00755E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системи керування на транзисторну-імпульсну (ТІСК) згідно ДК021:2015 код 44430000-3 – Армована обшивка</w:t>
            </w: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8D7B89" w:rsidRDefault="00FD0BF5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44430000-3 – Армована обшивка</w:t>
            </w:r>
          </w:p>
        </w:tc>
      </w:tr>
      <w:tr w:rsidR="008E4D0A" w:rsidTr="00755E71">
        <w:trPr>
          <w:trHeight w:val="890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</w:t>
            </w:r>
            <w:proofErr w:type="spellStart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номенклатурної</w:t>
            </w:r>
            <w:proofErr w:type="spellEnd"/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код</w:t>
            </w:r>
            <w:r w:rsidRPr="008D7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3002BB" w:rsidRDefault="00FD0BF5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44430000-3 – Армована обшивка</w:t>
            </w: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630" w:type="dxa"/>
              <w:tblLayout w:type="fixed"/>
              <w:tblLook w:val="00A0" w:firstRow="1" w:lastRow="0" w:firstColumn="1" w:lastColumn="0" w:noHBand="0" w:noVBand="0"/>
            </w:tblPr>
            <w:tblGrid>
              <w:gridCol w:w="614"/>
              <w:gridCol w:w="2579"/>
              <w:gridCol w:w="567"/>
              <w:gridCol w:w="870"/>
            </w:tblGrid>
            <w:tr w:rsidR="008E4D0A" w:rsidRPr="00351BD7" w:rsidTr="00755E71">
              <w:trPr>
                <w:cantSplit/>
                <w:trHeight w:val="1649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</w:t>
                  </w:r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Найменування</w:t>
                  </w:r>
                  <w:proofErr w:type="spell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  <w:p w:rsidR="008E4D0A" w:rsidRPr="00351BD7" w:rsidRDefault="008E4D0A" w:rsidP="0075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1BD7">
                    <w:rPr>
                      <w:rFonts w:ascii="Times New Roman" w:hAnsi="Times New Roman" w:cs="Times New Roman"/>
                      <w:b/>
                    </w:rPr>
                    <w:t>товару/</w:t>
                  </w: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</w:rPr>
                    <w:t>робі</w:t>
                  </w:r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</w:rPr>
                    <w:t>т</w:t>
                  </w:r>
                  <w:proofErr w:type="spellEnd"/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</w:rPr>
                    <w:t>послуг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Од</w:t>
                  </w:r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</w:t>
                  </w:r>
                  <w:proofErr w:type="gram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им</w:t>
                  </w:r>
                  <w:proofErr w:type="spellEnd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351BD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Кіль-кість</w:t>
                  </w:r>
                  <w:proofErr w:type="spellEnd"/>
                </w:p>
              </w:tc>
            </w:tr>
            <w:tr w:rsidR="008E4D0A" w:rsidRPr="00351BD7" w:rsidTr="00755E71">
              <w:trPr>
                <w:cantSplit/>
                <w:trHeight w:val="3349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E4D0A" w:rsidRPr="00351BD7" w:rsidRDefault="008E4D0A" w:rsidP="00755E7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BD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4D0A" w:rsidRPr="00351BD7" w:rsidRDefault="006E5E09" w:rsidP="006E5E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Комплекти обшивки для облаштування екстер’єру та інтер’єру салону та кабіни трамвая, що підлягають встановленню при проведенні капітально – відновлювального ремонту з переобладнанням трамвайних вагонів </w:t>
                  </w:r>
                  <w:proofErr w:type="spellStart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Tatra</w:t>
                  </w:r>
                  <w:proofErr w:type="spellEnd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Т3 шляхом заміни </w:t>
                  </w:r>
                  <w:proofErr w:type="spellStart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реостатно-контакторної</w:t>
                  </w:r>
                  <w:proofErr w:type="spellEnd"/>
                  <w:r w:rsidRPr="006E5E0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системи керування на транзисторно-імпульсну (ТІСК 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4D0A" w:rsidRPr="00351BD7" w:rsidRDefault="008E4D0A" w:rsidP="00755E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товару</w:t>
            </w:r>
          </w:p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м. Одеса,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Водопровідна,1</w:t>
            </w:r>
          </w:p>
        </w:tc>
      </w:tr>
      <w:tr w:rsidR="008E4D0A" w:rsidTr="00755E7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D0A" w:rsidRPr="00341491" w:rsidRDefault="008E4D0A" w:rsidP="00755E7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ind w:left="80" w:right="186" w:firstLine="283"/>
              <w:jc w:val="both"/>
              <w:textAlignment w:val="top"/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Постачання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залежності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потреби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Замовника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Строк поставки Товару – </w:t>
            </w:r>
            <w:r w:rsidR="00C34B28"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>30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(</w:t>
            </w:r>
            <w:r w:rsidR="00C34B28">
              <w:rPr>
                <w:rFonts w:ascii="Times New Roman" w:eastAsia="Tahoma" w:hAnsi="Times New Roman" w:cs="Times New Roman"/>
                <w:bCs/>
                <w:sz w:val="24"/>
                <w:szCs w:val="24"/>
                <w:lang w:val="uk-UA"/>
              </w:rPr>
              <w:t>тридцять</w:t>
            </w:r>
            <w:r w:rsidRPr="0045719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5719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робочих</w:t>
            </w:r>
            <w:proofErr w:type="spellEnd"/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з дня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отримання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письмової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заявки </w:t>
            </w:r>
            <w:proofErr w:type="spellStart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Замовника</w:t>
            </w:r>
            <w:proofErr w:type="spellEnd"/>
            <w:r w:rsidRPr="00341491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на поставку Товару.</w:t>
            </w:r>
          </w:p>
          <w:p w:rsidR="008E4D0A" w:rsidRDefault="008E4D0A" w:rsidP="00755E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</w:tbl>
    <w:p w:rsidR="008E4D0A" w:rsidRPr="00A1361A" w:rsidRDefault="008E4D0A" w:rsidP="008E4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338A9">
        <w:rPr>
          <w:rFonts w:ascii="Times New Roman" w:hAnsi="Times New Roman"/>
          <w:sz w:val="24"/>
          <w:szCs w:val="24"/>
        </w:rPr>
        <w:t>Техн</w:t>
      </w:r>
      <w:proofErr w:type="gramEnd"/>
      <w:r w:rsidRPr="00F338A9">
        <w:rPr>
          <w:rFonts w:ascii="Times New Roman" w:hAnsi="Times New Roman"/>
          <w:sz w:val="24"/>
          <w:szCs w:val="24"/>
        </w:rPr>
        <w:t>ічні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8A9">
        <w:rPr>
          <w:rFonts w:ascii="Times New Roman" w:hAnsi="Times New Roman"/>
          <w:sz w:val="24"/>
          <w:szCs w:val="24"/>
        </w:rPr>
        <w:t>якісні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F338A9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повинні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F338A9">
        <w:rPr>
          <w:rFonts w:ascii="Times New Roman" w:hAnsi="Times New Roman"/>
          <w:sz w:val="24"/>
          <w:szCs w:val="24"/>
        </w:rPr>
        <w:t>/</w:t>
      </w:r>
      <w:proofErr w:type="spellStart"/>
      <w:r w:rsidRPr="00F338A9">
        <w:rPr>
          <w:rFonts w:ascii="Times New Roman" w:hAnsi="Times New Roman"/>
          <w:sz w:val="24"/>
          <w:szCs w:val="24"/>
        </w:rPr>
        <w:t>зареєстрованим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діючим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актам </w:t>
      </w:r>
      <w:proofErr w:type="spellStart"/>
      <w:r w:rsidRPr="00F338A9">
        <w:rPr>
          <w:rFonts w:ascii="Times New Roman" w:hAnsi="Times New Roman"/>
          <w:sz w:val="24"/>
          <w:szCs w:val="24"/>
        </w:rPr>
        <w:t>діючого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38A9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стандартам (</w:t>
      </w:r>
      <w:proofErr w:type="spellStart"/>
      <w:r w:rsidRPr="00F338A9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F3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8A9">
        <w:rPr>
          <w:rFonts w:ascii="Times New Roman" w:hAnsi="Times New Roman"/>
          <w:sz w:val="24"/>
          <w:szCs w:val="24"/>
        </w:rPr>
        <w:t>умовам</w:t>
      </w:r>
      <w:proofErr w:type="spellEnd"/>
      <w:r w:rsidRPr="00F338A9">
        <w:rPr>
          <w:rFonts w:ascii="Times New Roman" w:hAnsi="Times New Roman"/>
          <w:sz w:val="24"/>
          <w:szCs w:val="24"/>
        </w:rPr>
        <w:t>)).</w:t>
      </w:r>
    </w:p>
    <w:p w:rsidR="008E4D0A" w:rsidRDefault="008E4D0A" w:rsidP="008E4D0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виходячи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0C1" w:rsidRDefault="008E4D0A" w:rsidP="008E4D0A">
      <w:pPr>
        <w:pStyle w:val="2"/>
        <w:ind w:firstLine="4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до того,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додатково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таблицю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складену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довільні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, яка у </w:t>
      </w:r>
      <w:proofErr w:type="spellStart"/>
      <w:r>
        <w:rPr>
          <w:rFonts w:ascii="Times New Roman" w:hAnsi="Times New Roman"/>
          <w:sz w:val="24"/>
          <w:szCs w:val="24"/>
        </w:rPr>
        <w:t>порівняльному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 товару,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вимагається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якісних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характеристик </w:t>
      </w:r>
      <w:proofErr w:type="spellStart"/>
      <w:r>
        <w:rPr>
          <w:rFonts w:ascii="Times New Roman" w:hAnsi="Times New Roman"/>
          <w:sz w:val="24"/>
          <w:szCs w:val="24"/>
        </w:rPr>
        <w:t>еквівалентного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заявлена 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повинна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яка </w:t>
      </w:r>
      <w:proofErr w:type="spellStart"/>
      <w:r>
        <w:rPr>
          <w:rFonts w:ascii="Times New Roman" w:hAnsi="Times New Roman"/>
          <w:sz w:val="24"/>
          <w:szCs w:val="24"/>
        </w:rPr>
        <w:t>пропонується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зазначено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яка буде </w:t>
      </w:r>
      <w:proofErr w:type="spellStart"/>
      <w:r>
        <w:rPr>
          <w:rFonts w:ascii="Times New Roman" w:hAnsi="Times New Roman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словосполучення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«(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>)» (</w:t>
      </w:r>
      <w:proofErr w:type="spellStart"/>
      <w:r>
        <w:rPr>
          <w:rFonts w:ascii="Times New Roman" w:hAnsi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автомобіль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Renault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Duster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еквівалент</w:t>
      </w:r>
      <w:proofErr w:type="spellEnd"/>
      <w:r>
        <w:rPr>
          <w:rFonts w:ascii="Times New Roman" w:hAnsi="Times New Roman"/>
          <w:sz w:val="24"/>
          <w:szCs w:val="24"/>
        </w:rPr>
        <w:t xml:space="preserve">)), </w:t>
      </w:r>
      <w:proofErr w:type="spellStart"/>
      <w:r>
        <w:rPr>
          <w:rFonts w:ascii="Times New Roman" w:hAnsi="Times New Roman"/>
          <w:sz w:val="24"/>
          <w:szCs w:val="24"/>
        </w:rPr>
        <w:t>пропозицію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відхилено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</w:rPr>
        <w:t>таку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іншим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4D0A" w:rsidRDefault="008E4D0A" w:rsidP="008E4D0A">
      <w:pPr>
        <w:pStyle w:val="2"/>
        <w:ind w:firstLine="4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441" w:rsidRDefault="006B2441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</w:p>
    <w:p w:rsidR="005B3318" w:rsidRDefault="005B3318" w:rsidP="005B3318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lastRenderedPageBreak/>
        <w:t>Вимоги до предмету закупівлі:</w:t>
      </w:r>
    </w:p>
    <w:p w:rsidR="005B3318" w:rsidRDefault="005B3318" w:rsidP="005B3318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</w:p>
    <w:p w:rsidR="006E5E09" w:rsidRPr="00EE4F5E" w:rsidRDefault="006E5E09" w:rsidP="006B2441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Загальна комплектація:</w:t>
      </w: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 комплекту обшивки та елементів для облаштування екстер’єру та інтер’єру салону та кабіни трамвайного вагону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Tatra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Т3 при проведенні капітально-відновлювального ремонту з переобладнанням включено наступне: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Інтер’єр кабіни;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Пульт управління; 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Обладнання кабіни водія;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Обладнання зовнішнє;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Обладнання внутрішнє;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водія;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пасажирські;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Система  поручнів та комплект сходинок салону;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Покриття підлоги кабіни та салону;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Акумуляторна батарея;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Утеплювач;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Скл</w:t>
      </w:r>
      <w:r w:rsid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;</w:t>
      </w: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Інтер’єр кабіни</w:t>
      </w:r>
    </w:p>
    <w:p w:rsidR="006E5E09" w:rsidRPr="00EE4F5E" w:rsidRDefault="006E5E09" w:rsidP="006E5E09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Інтер’єр кабіни - це перегородка кабіни, внутрішня обшивка та дзеркало заднього виду кабіни.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Перегородка кабіни водія повинна мати зсувні двері, із загартованим склом, замком та ручкою.  Перегородка повинна відгороджувати кабіну водія від пасажирського салону з урахуванням розміщення електричної шафи з дверима на два отвори, вхід у кабіну водія та вихід з кабіни, без</w:t>
      </w:r>
      <w:r w:rsid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печне запирання кабіни водія.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Внутрішня обшивка кабіни  повинна складатися з формованих склопластикових виробів, або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; </w:t>
      </w:r>
      <w:r w:rsidRPr="00EE4F5E">
        <w:rPr>
          <w:rFonts w:ascii="Times New Roman" w:eastAsia="Calibri" w:hAnsi="Times New Roman" w:cs="Times New Roman"/>
          <w:noProof/>
          <w:sz w:val="24"/>
          <w:szCs w:val="24"/>
          <w:lang w:val="uk-UA" w:eastAsia="en-US"/>
        </w:rPr>
        <w:t>дзекало задного виду кабіни водія повинне забезпечувати водія візуальною інформацєю про обстановку в салоні.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</w:p>
    <w:p w:rsidR="006E5E09" w:rsidRPr="009973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 xml:space="preserve">Пульт управління                     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Пульт управління, оснащений органами управління: кнопки, перемикачі, сигнальні лампи, розетка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прикурювача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та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USB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–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роз’єм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.  Підсвічування пульта від схеми живлення 24 В.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Обладнання  кабіни водія: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  обладнання кабіни водія повинно входити: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світильник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світлодіодний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кабіни водія, вмонтований у стелю, що забезпечує освітлення кабіни водія, у кількості  – 1 од.,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підставка під ломик;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комплект інформаційної системи, що складається з такого обладнання: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1)  бортовий комп’ютер (пристрій управління інформаційною системою з флеш-картою, модулем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GPS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та підсилювачем звуку);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2) інформаційне переднє табло для відображення номера маршруту, роздільна здатність 24х16;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3) інформаційне заднє табло для відображення номера маршруту, роздільна здатність 24х16;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4) бічне інформаційне табло для відображення номера маршруту, початкової та кінцевої зупинок маршруту, роздільна здатність 96х16 – 1 од;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5) внутрішнє інформаційне табло, роздільна здатність 96х8 – 1 од;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6) комплект кронштейнів кріплення інформаційних табло;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7) комплект динаміків (4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шт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 та мікрофон;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ролета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сонцезахисна (1350х400 мм) та система її кріплення;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рукава повітропроводів обігріву та охолодження простору кабіни водія та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обдуву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лобового скла;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дефлектори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обдуву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лобового скла – 4 од;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пристрій склоочищувача для видалення вологи (крапель дощу) тощо з вітрового скла трамвайного вагону;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комплект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склоомивачу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лобового скла з бачком та кронштейном;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lastRenderedPageBreak/>
        <w:t>- кондиціонер кабіни водія, живлення від низьковольтної електросхеми, 24 В;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опалювач кабіни водія: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максимальна потужність нагрівальних елементів, кВт 4,5-5,5;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напруга живлення блоку управління і вентилятора, В27;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напруга живлення нагрівального елементу, В600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перепад температур  (вхід—вихід), 0С50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продуктивність вентилятора мах, м3/год. 420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ступень захистуIP-21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 xml:space="preserve">пусковий струм вентилятора </w:t>
      </w:r>
      <w:proofErr w:type="spellStart"/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max</w:t>
      </w:r>
      <w:proofErr w:type="spellEnd"/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, А1,7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габарити, не більш, мм355x250x230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маса, не більше, кг 7,2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(або еквівалент)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  <w:lang w:val="uk-UA" w:eastAsia="en-US"/>
        </w:rPr>
        <w:t>для використання в пасажирському транспорті.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Обладнання зовнішнє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До комплекту поставки  обладнання зовнішнього входить: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припливно-витяжний вентилятор салону, для встановлення на даху, керування яким здійснюється з кабіни водія від схеми живлення напругою 24 В;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комплект  фар типу ФГ-122, або аналог, з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– підсвічуванням, передні та задні габаритні вогні з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- підсвічуванням 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дзеркало зворотного вигляду з підігрівом, живлення від схеми 24 В.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дахові фальшборти.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Обладнання внутрішнє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 обладнання внутрішнього входить: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 xml:space="preserve">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комплект панелей бокових та панелей задньої частини,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комплект панелей стелі,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  <w:t xml:space="preserve">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опалювачі салону – 3 од., система кондиціювання.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-  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Панелі бокові  та панелі задньої частини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повинні забезпечувати облицювання підвіконного простору від підлоги до підвіконня пластиковими панелями, або виробами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 комплекту повинні входити алюмінієві профілі, що забезпечують кріплення панелей.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-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Комплект панелей стелі -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стеля з пластикових панелей, або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proofErr w:type="gram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світильники  повинні</w:t>
      </w:r>
      <w:proofErr w:type="gram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забезпечувати розсіяне світло.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Освітлення над дверима в районі сходинок – 1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світильник, живлення від схеми 24 В.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Технічні вимоги до освітлювальних елементів - е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лектроживлення освітлювальних елементів  здійснюється від бортової мережі трамвая з такими параметрами: номінальна напруга - 24 В;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струм – постійний;  діапазон зміни напруги -  21,5 – 30 В.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Освітлювальні елементи повинні бути виконані з використанням LED технологій.</w:t>
      </w:r>
    </w:p>
    <w:p w:rsidR="006E5E09" w:rsidRPr="00997377" w:rsidRDefault="006E5E09" w:rsidP="006E5E09">
      <w:pPr>
        <w:spacing w:after="0" w:line="240" w:lineRule="auto"/>
        <w:ind w:left="-567" w:right="-285" w:firstLine="283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Опалювачі салону – 3 од.  </w:t>
      </w:r>
    </w:p>
    <w:p w:rsidR="006E5E09" w:rsidRPr="00EE4F5E" w:rsidRDefault="006E5E09" w:rsidP="006E5E09">
      <w:pPr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Максимальна потужність нагрівальних елементів, кВт 3,0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Напруга живлення блоку управління і вентилятора, В 27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Напруга живлення нагрівального елементу, В 600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Перепад температур  (вхід — вихід), 0 С 50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Продуктивність вентилятора мах, м</w:t>
      </w:r>
      <w:r w:rsidRPr="00EE4F5E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en-US"/>
        </w:rPr>
        <w:t>3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/год. 250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Ступень захисту IP-21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Пусковий струм вентилятора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max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А 1,7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Габарити, не більш, мм 355x250x230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Маса, не більше, кг 7,1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(або еквівалент)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Для використання в пасажирському транспорті.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Система кондиціювання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кондиціонер транспортний, 3 кВт – 1 од (для салону) та 0,9 кВТ для кабіни водія, який забезпечить безперебійну роботу кондиціювання.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Статичний перетворювач 600/24В, акумуляторні батареї – 2 од по 100Агод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</w:p>
    <w:p w:rsidR="006E5E09" w:rsidRPr="00997377" w:rsidRDefault="006E5E09" w:rsidP="006E5E09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  <w:lastRenderedPageBreak/>
        <w:t>Сидіння</w:t>
      </w:r>
      <w:r w:rsidRPr="0099737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  <w:t xml:space="preserve"> 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en-US"/>
        </w:rPr>
        <w:t xml:space="preserve">водія                   </w:t>
      </w:r>
    </w:p>
    <w:p w:rsidR="006E5E09" w:rsidRPr="00EE4F5E" w:rsidRDefault="006E5E09" w:rsidP="006E5E09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Характеристики та комплектація: Сидіння водія з механічною підвіскою, що дозволяє легко регулювати положення сидіння, повертаючи важіль та не встаючи, регулювати висоту сидіння, поперекову опору і глибину подушки сидіння: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механічна підвіска;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smartTag w:uri="urn:schemas-microsoft-com:office:smarttags" w:element="metricconverter">
        <w:smartTagPr>
          <w:attr w:name="ProductID" w:val="10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100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вертикальний хід підвіски;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smartTag w:uri="urn:schemas-microsoft-com:office:smarttags" w:element="metricconverter">
        <w:smartTagPr>
          <w:attr w:name="ProductID" w:val="8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80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регулювання положення по висоти;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smartTag w:uri="urn:schemas-microsoft-com:office:smarttags" w:element="metricconverter">
        <w:smartTagPr>
          <w:attr w:name="ProductID" w:val="21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val="uk-UA" w:eastAsia="en-US"/>
          </w:rPr>
          <w:t>210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діапазон регулювання вперед/назад;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регульований кут нахилу спинки;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регульований кут нахилу подушки;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регульована глибина подушки сидіння;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знімний підголівник;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ручне регулювання поперекової опори;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поворотний механізм з розворотом: - 120 ° до 120 °;</w:t>
      </w:r>
    </w:p>
    <w:p w:rsidR="006E5E09" w:rsidRPr="00EE4F5E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підлокітники;</w:t>
      </w:r>
    </w:p>
    <w:p w:rsidR="006E5E09" w:rsidRPr="00930E12" w:rsidRDefault="006E5E09" w:rsidP="006E5E09">
      <w:pPr>
        <w:widowControl w:val="0"/>
        <w:numPr>
          <w:ilvl w:val="0"/>
          <w:numId w:val="7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30E1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відповідність вимогам пожежної небезпеки, про що необхідно надати відповідний сертифікат, або протокол випробувань;</w:t>
      </w:r>
    </w:p>
    <w:p w:rsidR="006E5E09" w:rsidRPr="00EE4F5E" w:rsidRDefault="006E5E09" w:rsidP="006E5E09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Габарити: Довжина 583 мм., Ширина з підлокітниками 658 мм, Ширина без підлокітників 490 мм, Висота 1092 мм</w:t>
      </w:r>
    </w:p>
    <w:p w:rsidR="006E5E09" w:rsidRPr="00EE4F5E" w:rsidRDefault="006E5E09" w:rsidP="006E5E09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C019138" wp14:editId="232CE26B">
            <wp:extent cx="1308818" cy="2028668"/>
            <wp:effectExtent l="19050" t="0" r="56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20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Сидіння водія без дефектів, пов’язаних з матеріалами та/або роботою по їх виготовленню, які виявляються в результаті дії або упущення виробника та/або постачальника. Товар новий, не пізніше 2020 року виготовлення.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zh-CN"/>
        </w:rPr>
      </w:pP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Сидіння пасажирські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Для комплектації інтер’єру салону необхідні: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пасажирські, нові,  у кількості не менше, ніж 24 шт. – 23 одинарних та 1-го  полуторного сидіння для осіб з обмеженими фізичними можливостями. Корпус сидіння модульний складається з суцільнолитого пластику і пластикових вставок: корпус, сидіння та спинка. Сидіння та спинка обтягнуті тканиною. Тканина сидіння транспортного виконання (килимове покриття). У верхній частині сидіння встановлений поручень, виготовлений із суцільнолитого пластику.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Габаритні розміри сидіння (разом з поручнем) одинарного: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довжина: 575 ± 5 мм,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ширина: 442 ± 5 мм,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висота: 622 ± 5 мм,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Габаритні розміри полуторного сидіння: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довжина 570 ± 5 мм,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ширина 680 ± 5 мм,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- висота 610 ± 5 мм.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Приєднувальні розміри отворів для кріплення сидінь до каркасів: 323 ± 1 х 163 ± 1 мм.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Сидіння не повинні мати дефекти, що пов’язані з матеріалами та/або  роботою по їх виготовленню.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На сидіннях повинний бути вишитий логотип за узгодженням із замовником.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Система поручнів та комплект сходинок салону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До комплекту системи поручнів входять: поручні салону горизонтальні та кутові, кінцеві поручні та стійки, що кріпляться до кронштейнів сидінь пасажирських, перила, тримачі, з’єднувачі та опори. </w:t>
      </w:r>
      <w:r w:rsidRP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Комплект поручнів повинен відповідати вимогам ДСТУ 4070 – 2019</w:t>
      </w:r>
      <w:r w:rsidRPr="00396F61"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zh-CN"/>
        </w:rPr>
        <w:t>.</w:t>
      </w:r>
    </w:p>
    <w:p w:rsidR="006E5E09" w:rsidRPr="00997377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Комплект поручнів пофарбований методом порошкового фарбування металу (колір поручнів узгоджується із замовником).  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Оздоблення  сходинок салону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виконан</w:t>
      </w:r>
      <w:r w:rsidRPr="0099737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нержавіючої сталі.</w:t>
      </w: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Покриття підлоги кабіни та салону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Покриття підлоги (ПВХ) із зносостійким шаром не менше, ніж </w:t>
      </w:r>
      <w:smartTag w:uri="urn:schemas-microsoft-com:office:smarttags" w:element="metricconverter">
        <w:smartTagPr>
          <w:attr w:name="ProductID" w:val="0,9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val="uk-UA" w:eastAsia="zh-CN"/>
          </w:rPr>
          <w:t>0,9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у транспортному виконанні (призначене для транспорту), з властивостями проти ковзкого покриття, в комплекті з необхідною кількістю спеціально призначеного для вказаного покриття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клеючего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матеріалу та відповідними профілями і кутниками з анті ковзкою вставкою жовтого кольору для закріплення покриття підлоги.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Акумуляторна батарея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Акумуляторна батарея – нікель – кадмієва, 20 акумуляторних банок, що з’єднані послідовно та надають напругу не менше 24 В у зарядженому стані. Забезпечення бездоганної надійності при роботі у  діапазоні температур від -40° до +45°С.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 кришці акумулятора рельєфним методом повинні бути нанесені маркування, що містять: назву підприємства-виробника; умовну познаку акумулятора; дату виготовлення (квартал, рік); знак полярності.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Утеплювач.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 якості утеплювача  застосувати вироби з  мінеральної вати на основі базальтового волокна без покриття та з однобічним покриттям склотканиною. Вироби повинні відповідати  ДСТУ 4049-2001 та ЦУО – 0039.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Скл</w:t>
      </w:r>
      <w:r w:rsidR="00930E1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zh-CN"/>
        </w:rPr>
        <w:t>о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Для скління бічних віконних отворів застосовувати загартоване скло, для лобових передніх, задніх та дверних стекол, а також для бічних косинців застосовувати скло типу триплекс. Розміри стекол  за узгодженням із замовником.</w:t>
      </w:r>
    </w:p>
    <w:p w:rsidR="006E5E09" w:rsidRPr="00997377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zh-CN"/>
        </w:rPr>
      </w:pPr>
    </w:p>
    <w:p w:rsidR="006E5E09" w:rsidRPr="00EE4F5E" w:rsidRDefault="006E5E09" w:rsidP="006E5E09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Встановлений  строк служби  комплекту 10 років.</w:t>
      </w:r>
    </w:p>
    <w:p w:rsidR="006E5E09" w:rsidRPr="00EE4F5E" w:rsidRDefault="006E5E09" w:rsidP="006E5E09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Комплект  інтер’єру кабіни, корпус пульта, перегородка кабіни водія, комплект панелей бокових, комплект панелей стелі та задньої частин, складаються, в основному, зі склопластикових, пластикових та металевих виробів, або 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що припасовані один до одного та забезпечують комфорт та безпеку пасажиру та водію.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2. Вироби комплекту, а також застосоване обладнання та матеріали повинні бути виготовлені 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всекліматичному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виконанні, для розміщення всередині салону вагона трамвая. При цьому діапазон температур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навколишнього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повітря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від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3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0°С до + 40°С. 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3. Застосовані  матеріали повинні відповідати вимогам </w:t>
      </w:r>
      <w:r w:rsidRP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ДСТУ 4799:2007 та</w:t>
      </w:r>
      <w:r w:rsidR="00930E12" w:rsidRP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/або</w:t>
      </w:r>
      <w:r w:rsidRP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ДСТУ 4049:2001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та/або  ДСТУ 8829:2019 </w:t>
      </w: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 частині вимог пожежної безпеки.  Дефекти матеріалу неприпустимі.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4. Неметалеві матеріали, що застосовані в комплекті, повинні мати сан</w:t>
      </w:r>
      <w:r w:rsidR="00930E1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ітарно-епідеміологічні висновки, або сертифікат (якості чи відповідності), або паспорт  якості.</w:t>
      </w:r>
    </w:p>
    <w:p w:rsidR="006E5E09" w:rsidRPr="00EE4F5E" w:rsidRDefault="006E5E09" w:rsidP="006E5E0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5 Елементи комплектів повинні відповідати вимогам показників пожежної небезпеки та відноситися до матеріалів групи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горючості–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важко горючий матеріал, мати показники щодо токсичності продуктів його горіння - помірно небезпечний, мати властивості щодо поширення полум’я - не поширює полум’я поверхнею, коефіцієнт димоутворення повинен бути на рівні матеріалів з помірною димоутворювальною здатністю. У складі пропозиції повинно бути надано сертифікат відповідності щодо відповідності таким вимогам.</w:t>
      </w:r>
    </w:p>
    <w:p w:rsidR="003C1D74" w:rsidRDefault="006E5E09" w:rsidP="003C1D74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 складі пропозиції повинно бути надано «сертифікат відповідності» щодо відповідності таким вимогам.</w:t>
      </w:r>
      <w:r w:rsidR="003C1D7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</w:t>
      </w:r>
    </w:p>
    <w:p w:rsidR="00892AA7" w:rsidRPr="003C1D74" w:rsidRDefault="006E5E09" w:rsidP="003C1D74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  <w:r w:rsidRPr="000E38DC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 xml:space="preserve"> </w:t>
      </w:r>
      <w:r w:rsidR="000E1E76" w:rsidRPr="000E38DC">
        <w:rPr>
          <w:rFonts w:ascii="Times New Roman" w:hAnsi="Times New Roman"/>
          <w:b/>
          <w:sz w:val="24"/>
          <w:szCs w:val="24"/>
          <w:u w:val="single"/>
          <w:lang w:val="uk-UA"/>
        </w:rPr>
        <w:t>(або еквівалент)</w:t>
      </w:r>
    </w:p>
    <w:p w:rsidR="00C34B28" w:rsidRPr="000E38DC" w:rsidRDefault="00C34B28" w:rsidP="000E38DC">
      <w:pPr>
        <w:tabs>
          <w:tab w:val="left" w:pos="3834"/>
        </w:tabs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11862" w:rsidRPr="00281539" w:rsidRDefault="00411862" w:rsidP="00411862">
      <w:pPr>
        <w:spacing w:before="20" w:after="20"/>
        <w:ind w:left="-10" w:firstLine="54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1.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>Учасник гарантує, що товар не має негативного впливу на навколишнє середовище, технічні та якісні характеристики предмета закупівлі відповідають встановленим законодавствам нормам.</w:t>
      </w:r>
    </w:p>
    <w:p w:rsidR="00A5561F" w:rsidRDefault="00411862" w:rsidP="00A5561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/>
        </w:rPr>
        <w:t>2.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/>
        </w:rPr>
        <w:t xml:space="preserve"> </w:t>
      </w:r>
      <w:r w:rsidRPr="00281539">
        <w:rPr>
          <w:rStyle w:val="hps"/>
          <w:rFonts w:ascii="Times New Roman" w:hAnsi="Times New Roman"/>
          <w:color w:val="222222"/>
          <w:sz w:val="24"/>
          <w:szCs w:val="24"/>
          <w:lang w:val="uk-UA"/>
        </w:rPr>
        <w:t>Учасник гарантує, що п</w:t>
      </w:r>
      <w:r w:rsidRPr="00281539">
        <w:rPr>
          <w:rFonts w:ascii="Times New Roman" w:hAnsi="Times New Roman"/>
          <w:sz w:val="24"/>
          <w:szCs w:val="24"/>
          <w:lang w:val="uk-UA"/>
        </w:rPr>
        <w:t xml:space="preserve">редмет закупівлі (продукція, тара, пакування, транспортування) </w:t>
      </w:r>
      <w:r w:rsidRPr="00281539">
        <w:rPr>
          <w:rStyle w:val="a5"/>
          <w:rFonts w:ascii="Times New Roman" w:hAnsi="Times New Roman"/>
          <w:i w:val="0"/>
          <w:sz w:val="24"/>
          <w:szCs w:val="24"/>
          <w:lang w:val="uk-UA"/>
        </w:rPr>
        <w:t>не</w:t>
      </w:r>
      <w:r w:rsidRPr="00281539">
        <w:rPr>
          <w:rStyle w:val="a5"/>
          <w:rFonts w:ascii="Times New Roman" w:hAnsi="Times New Roman"/>
          <w:sz w:val="24"/>
          <w:szCs w:val="24"/>
          <w:lang w:val="uk-UA"/>
        </w:rPr>
        <w:t xml:space="preserve"> </w:t>
      </w:r>
      <w:r w:rsidRPr="00281539">
        <w:rPr>
          <w:rFonts w:ascii="Times New Roman" w:hAnsi="Times New Roman"/>
          <w:sz w:val="24"/>
          <w:szCs w:val="24"/>
          <w:lang w:val="uk-UA"/>
        </w:rPr>
        <w:t>завдаватиме шкоди навколишньому середовищу та передбачатиме заходи щодо захисту довкілля.</w:t>
      </w:r>
    </w:p>
    <w:p w:rsidR="006C70CA" w:rsidRDefault="006C70CA" w:rsidP="00A5561F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4"/>
          <w:szCs w:val="24"/>
          <w:lang w:val="uk-UA"/>
        </w:rPr>
      </w:pPr>
    </w:p>
    <w:p w:rsidR="00281539" w:rsidRPr="00A5561F" w:rsidRDefault="00281539" w:rsidP="00A55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Обґрунтування необхідності закупівлі даного виду товару :</w:t>
      </w:r>
    </w:p>
    <w:p w:rsidR="00281539" w:rsidRPr="00281539" w:rsidRDefault="00281539" w:rsidP="00281539">
      <w:pPr>
        <w:spacing w:before="240" w:after="0" w:line="240" w:lineRule="auto"/>
        <w:rPr>
          <w:rFonts w:ascii="Times New Roman" w:hAnsi="Times New Roman"/>
          <w:b/>
          <w:i/>
          <w:spacing w:val="-2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pacing w:val="-2"/>
          <w:sz w:val="24"/>
          <w:szCs w:val="24"/>
          <w:lang w:val="uk-UA"/>
        </w:rPr>
        <w:t>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AC4872" w:rsidRDefault="00AC4872" w:rsidP="00AC487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місцях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де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ічна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конкретні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конкретний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послугу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певного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торгові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патенти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типи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конкретне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вираз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».</w:t>
      </w:r>
    </w:p>
    <w:p w:rsidR="00AC4872" w:rsidRDefault="00AC4872" w:rsidP="00AC487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highlight w:val="white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168C">
        <w:rPr>
          <w:rFonts w:ascii="Times New Roman" w:eastAsia="Times New Roman" w:hAnsi="Times New Roman" w:cs="Times New Roman"/>
          <w:sz w:val="24"/>
          <w:szCs w:val="24"/>
        </w:rPr>
        <w:t>товару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потребам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ідпункту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пункту 6-1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Прикінцевих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підпунктом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дорівнює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абзацом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ідпункту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пункту 6-1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Прикінцевих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у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порядком є Порядок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02.08.2022 № 861.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предмет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визначенню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ступеня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локалізації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довідку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довільній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hyperlink r:id="rId7" w:tgtFrame="_blank" w:history="1"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переліку</w:t>
        </w:r>
        <w:proofErr w:type="spellEnd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локалізованих</w:t>
        </w:r>
        <w:proofErr w:type="spellEnd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товарів</w:t>
        </w:r>
        <w:proofErr w:type="spellEnd"/>
      </w:hyperlink>
      <w:r>
        <w:t>.</w:t>
      </w: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C4872" w:rsidRDefault="00AC4872" w:rsidP="00AC4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ідтверджують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AC4872" w:rsidRDefault="00AC4872" w:rsidP="00AC48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формою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креслення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малюнки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наведений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зазначення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країни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товару з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надає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митну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декларацію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ввезення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територію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до 24.02.2022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включно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креслення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малюнки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наведена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72" w:rsidRDefault="00AC4872" w:rsidP="00AC4872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1</w:t>
      </w:r>
    </w:p>
    <w:tbl>
      <w:tblPr>
        <w:tblW w:w="1009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57"/>
        <w:gridCol w:w="2126"/>
        <w:gridCol w:w="2977"/>
        <w:gridCol w:w="992"/>
        <w:gridCol w:w="1134"/>
        <w:gridCol w:w="1276"/>
        <w:gridCol w:w="1134"/>
      </w:tblGrid>
      <w:tr w:rsidR="00AC4872" w:rsidRPr="002D170D" w:rsidTr="00892AA7">
        <w:trPr>
          <w:trHeight w:val="992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lastRenderedPageBreak/>
              <w:t>№ з/</w:t>
            </w:r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Найменування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 товару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Техн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ічні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характеристики товару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Од</w:t>
            </w:r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.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в</w:t>
            </w:r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Виробник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товару*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походження</w:t>
            </w:r>
            <w:proofErr w:type="spellEnd"/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товару**</w:t>
            </w:r>
          </w:p>
        </w:tc>
      </w:tr>
      <w:tr w:rsidR="00AC4872" w:rsidRPr="002D170D" w:rsidTr="00892AA7">
        <w:trPr>
          <w:trHeight w:val="464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AC4872" w:rsidRPr="002D170D" w:rsidTr="00892AA7">
        <w:trPr>
          <w:trHeight w:val="128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4872" w:rsidRPr="00265D32" w:rsidRDefault="00AC4872" w:rsidP="00755E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892AA7" w:rsidRPr="00AC4872" w:rsidRDefault="00AC4872" w:rsidP="00892AA7">
            <w:pPr>
              <w:spacing w:after="0"/>
              <w:ind w:firstLine="4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6259A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AC4872" w:rsidRPr="00AC4872" w:rsidRDefault="00AC4872" w:rsidP="00755E7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C4872" w:rsidRPr="002D170D" w:rsidRDefault="00AC4872" w:rsidP="00755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2D170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872" w:rsidRPr="002D170D" w:rsidRDefault="00AC4872" w:rsidP="00755E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2D170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AC4872" w:rsidRDefault="00AC4872" w:rsidP="00AC4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C4872" w:rsidRDefault="00AC4872" w:rsidP="00AC487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із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організаційно-правової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форми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товариство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</w:rPr>
        <w:t>обмеженою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відповідальністю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приватне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п</w:t>
      </w:r>
      <w:proofErr w:type="gramEnd"/>
      <w:r>
        <w:rPr>
          <w:rFonts w:ascii="Times New Roman" w:eastAsia="Times New Roman" w:hAnsi="Times New Roman" w:cs="Times New Roman"/>
          <w:i/>
        </w:rPr>
        <w:t>ідприємство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тощо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</w:p>
    <w:p w:rsidR="00AC4872" w:rsidRDefault="00AC4872" w:rsidP="00AC487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i/>
        </w:rPr>
        <w:t>Країною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товару  </w:t>
      </w:r>
      <w:proofErr w:type="spellStart"/>
      <w:r>
        <w:rPr>
          <w:rFonts w:ascii="Times New Roman" w:eastAsia="Times New Roman" w:hAnsi="Times New Roman" w:cs="Times New Roman"/>
          <w:i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країна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i/>
        </w:rPr>
        <w:t>якій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i/>
        </w:rPr>
        <w:t>був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повністю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вироблений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або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п</w:t>
      </w:r>
      <w:proofErr w:type="gramEnd"/>
      <w:r>
        <w:rPr>
          <w:rFonts w:ascii="Times New Roman" w:eastAsia="Times New Roman" w:hAnsi="Times New Roman" w:cs="Times New Roman"/>
          <w:i/>
        </w:rPr>
        <w:t>ідданий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достатній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переробці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Митним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i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</w:p>
    <w:p w:rsidR="00AC4872" w:rsidRPr="00452159" w:rsidRDefault="00AC4872" w:rsidP="00AC4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● 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складі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пропозиції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гаранту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ступінь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локалізації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товару,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визначеного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підпунктом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пункту 6-1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Прикінцевих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перехідних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Закону,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предметом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дорівнює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15</w:t>
      </w:r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відсотків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також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містить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такого товару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пункт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відображається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товар (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такого товару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відповідний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пункт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відображається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товар,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зазначаються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відсутності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загальному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доступі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AC4872" w:rsidRPr="005335D1" w:rsidRDefault="00AC4872" w:rsidP="0053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Вимога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застосовується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закупівель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товарів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вартість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дорівнює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суми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зазначені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Угоді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укладеній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15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квітня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1994 р. в м.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Марракеші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із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змінами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внесеними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Протоколом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вчиненим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30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березня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2012 р. в м.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Женеві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також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положеннях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інших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міжнародних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договорів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згода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обов’язковість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Верховною Радою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зокрема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угодах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вільну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торгівлю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 гривневому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еквіваленті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дату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країною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походження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яких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з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якими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уклала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угоди, 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учасниками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</w:t>
      </w:r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якої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приєдналася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Закону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“Про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приєднання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Угоди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державні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”,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підтверджується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сертифікатом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походження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товару, про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надається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лист-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разі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ненадання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гарантійного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листа-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пояснення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пропозиція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буде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відхилена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як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така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відповідає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встановленим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абзацом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першим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частини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третьої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статті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22 Закону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вимогам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відповідно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законодавства</w:t>
      </w:r>
      <w:proofErr w:type="spellEnd"/>
      <w:r w:rsidRPr="00452159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281539" w:rsidRPr="00281539" w:rsidRDefault="00281539" w:rsidP="00281539">
      <w:pPr>
        <w:spacing w:before="240"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i/>
          <w:sz w:val="24"/>
          <w:szCs w:val="24"/>
          <w:lang w:val="uk-UA"/>
        </w:rPr>
        <w:t>Увага!!!</w:t>
      </w:r>
    </w:p>
    <w:p w:rsidR="00281539" w:rsidRPr="00281539" w:rsidRDefault="00281539" w:rsidP="00281539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</w:t>
      </w:r>
      <w:r w:rsidRPr="0028153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Pr="00281539">
        <w:rPr>
          <w:rFonts w:ascii="Times New Roman" w:hAnsi="Times New Roman"/>
          <w:b/>
          <w:bCs/>
          <w:sz w:val="24"/>
          <w:szCs w:val="24"/>
          <w:lang w:val="uk-UA"/>
        </w:rPr>
        <w:t>поставки товару, у</w:t>
      </w:r>
      <w:r w:rsidRPr="0028153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відповідності до вимог, визначених згідно з умовами тендерної документації.</w:t>
      </w:r>
    </w:p>
    <w:p w:rsidR="00281539" w:rsidRPr="00F834BE" w:rsidRDefault="00281539" w:rsidP="00281539">
      <w:pPr>
        <w:spacing w:after="0" w:line="240" w:lineRule="auto"/>
        <w:ind w:firstLine="539"/>
        <w:jc w:val="both"/>
        <w:rPr>
          <w:lang w:val="uk-UA"/>
        </w:rPr>
      </w:pPr>
    </w:p>
    <w:p w:rsidR="00C75FD1" w:rsidRPr="00A64342" w:rsidRDefault="00C75FD1" w:rsidP="00411862">
      <w:pPr>
        <w:tabs>
          <w:tab w:val="left" w:pos="383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64342" w:rsidRPr="00A64342" w:rsidRDefault="00A64342">
      <w:pPr>
        <w:tabs>
          <w:tab w:val="left" w:pos="383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A64342" w:rsidRPr="00A64342" w:rsidSect="006B24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F45"/>
    <w:multiLevelType w:val="hybridMultilevel"/>
    <w:tmpl w:val="5EAE99D6"/>
    <w:lvl w:ilvl="0" w:tplc="7E923004">
      <w:numFmt w:val="bullet"/>
      <w:lvlText w:val="-"/>
      <w:lvlJc w:val="left"/>
      <w:pPr>
        <w:tabs>
          <w:tab w:val="num" w:pos="439"/>
        </w:tabs>
        <w:ind w:left="43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1">
    <w:nsid w:val="069C392B"/>
    <w:multiLevelType w:val="hybridMultilevel"/>
    <w:tmpl w:val="83BA0DC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140A92"/>
    <w:multiLevelType w:val="hybridMultilevel"/>
    <w:tmpl w:val="895C0802"/>
    <w:lvl w:ilvl="0" w:tplc="68AC2276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ACA65FC"/>
    <w:multiLevelType w:val="hybridMultilevel"/>
    <w:tmpl w:val="6C2EA78A"/>
    <w:lvl w:ilvl="0" w:tplc="D3784F58">
      <w:start w:val="400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B019FC"/>
    <w:multiLevelType w:val="multilevel"/>
    <w:tmpl w:val="2D383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77DB0"/>
    <w:multiLevelType w:val="hybridMultilevel"/>
    <w:tmpl w:val="6E0AD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545AA"/>
    <w:multiLevelType w:val="multilevel"/>
    <w:tmpl w:val="9B021E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7B327FCD"/>
    <w:multiLevelType w:val="hybridMultilevel"/>
    <w:tmpl w:val="B122F2B4"/>
    <w:lvl w:ilvl="0" w:tplc="FD1237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1862"/>
    <w:rsid w:val="00000589"/>
    <w:rsid w:val="00006882"/>
    <w:rsid w:val="000108BD"/>
    <w:rsid w:val="000821B8"/>
    <w:rsid w:val="000A7B41"/>
    <w:rsid w:val="000E1E76"/>
    <w:rsid w:val="000E38DC"/>
    <w:rsid w:val="000E66A4"/>
    <w:rsid w:val="00123DB1"/>
    <w:rsid w:val="00124BBF"/>
    <w:rsid w:val="001E4799"/>
    <w:rsid w:val="00210347"/>
    <w:rsid w:val="00221539"/>
    <w:rsid w:val="002469AA"/>
    <w:rsid w:val="002513B7"/>
    <w:rsid w:val="00281539"/>
    <w:rsid w:val="00287427"/>
    <w:rsid w:val="002B3A79"/>
    <w:rsid w:val="002C4003"/>
    <w:rsid w:val="002E75E7"/>
    <w:rsid w:val="003544B9"/>
    <w:rsid w:val="00396F61"/>
    <w:rsid w:val="003C1D74"/>
    <w:rsid w:val="003C6213"/>
    <w:rsid w:val="003D18FE"/>
    <w:rsid w:val="003E659B"/>
    <w:rsid w:val="00411862"/>
    <w:rsid w:val="00422C9E"/>
    <w:rsid w:val="00466A44"/>
    <w:rsid w:val="00467926"/>
    <w:rsid w:val="00472CFA"/>
    <w:rsid w:val="004748F9"/>
    <w:rsid w:val="004A4C8F"/>
    <w:rsid w:val="004D3C0D"/>
    <w:rsid w:val="00506564"/>
    <w:rsid w:val="005335D1"/>
    <w:rsid w:val="00590F5E"/>
    <w:rsid w:val="005B3318"/>
    <w:rsid w:val="005E09A3"/>
    <w:rsid w:val="0060710F"/>
    <w:rsid w:val="00676A9A"/>
    <w:rsid w:val="006B2441"/>
    <w:rsid w:val="006C335B"/>
    <w:rsid w:val="006C70CA"/>
    <w:rsid w:val="006E5E09"/>
    <w:rsid w:val="00703461"/>
    <w:rsid w:val="007177B1"/>
    <w:rsid w:val="00755E71"/>
    <w:rsid w:val="007A1671"/>
    <w:rsid w:val="007C2E29"/>
    <w:rsid w:val="007C6747"/>
    <w:rsid w:val="007E465B"/>
    <w:rsid w:val="007E5BF0"/>
    <w:rsid w:val="00800920"/>
    <w:rsid w:val="0080138A"/>
    <w:rsid w:val="0082531B"/>
    <w:rsid w:val="0086259A"/>
    <w:rsid w:val="00892AA7"/>
    <w:rsid w:val="008A5BF7"/>
    <w:rsid w:val="008C240C"/>
    <w:rsid w:val="008D171C"/>
    <w:rsid w:val="008E2E77"/>
    <w:rsid w:val="008E4D0A"/>
    <w:rsid w:val="0090601D"/>
    <w:rsid w:val="00906379"/>
    <w:rsid w:val="00930BAA"/>
    <w:rsid w:val="00930E12"/>
    <w:rsid w:val="009632B7"/>
    <w:rsid w:val="0097640B"/>
    <w:rsid w:val="009812E1"/>
    <w:rsid w:val="009B3BC5"/>
    <w:rsid w:val="009F01A0"/>
    <w:rsid w:val="009F30C1"/>
    <w:rsid w:val="009F45D8"/>
    <w:rsid w:val="00A44F29"/>
    <w:rsid w:val="00A5561F"/>
    <w:rsid w:val="00A64342"/>
    <w:rsid w:val="00A64F60"/>
    <w:rsid w:val="00A8566E"/>
    <w:rsid w:val="00AC4872"/>
    <w:rsid w:val="00AD522A"/>
    <w:rsid w:val="00AD644B"/>
    <w:rsid w:val="00B12050"/>
    <w:rsid w:val="00B936BF"/>
    <w:rsid w:val="00BC4C9F"/>
    <w:rsid w:val="00C25E5C"/>
    <w:rsid w:val="00C30C52"/>
    <w:rsid w:val="00C33582"/>
    <w:rsid w:val="00C34B28"/>
    <w:rsid w:val="00C503DA"/>
    <w:rsid w:val="00C74BF1"/>
    <w:rsid w:val="00C75FD1"/>
    <w:rsid w:val="00C93F8D"/>
    <w:rsid w:val="00C95A63"/>
    <w:rsid w:val="00CA0C4A"/>
    <w:rsid w:val="00CB3004"/>
    <w:rsid w:val="00CB471E"/>
    <w:rsid w:val="00D15FD8"/>
    <w:rsid w:val="00D24C2E"/>
    <w:rsid w:val="00D34191"/>
    <w:rsid w:val="00DC168C"/>
    <w:rsid w:val="00DE73B5"/>
    <w:rsid w:val="00E14F20"/>
    <w:rsid w:val="00E236EA"/>
    <w:rsid w:val="00E23C66"/>
    <w:rsid w:val="00E755F3"/>
    <w:rsid w:val="00E9265F"/>
    <w:rsid w:val="00ED052A"/>
    <w:rsid w:val="00EE58B1"/>
    <w:rsid w:val="00EF1BE7"/>
    <w:rsid w:val="00F019CA"/>
    <w:rsid w:val="00F064FE"/>
    <w:rsid w:val="00F22E8C"/>
    <w:rsid w:val="00F4203D"/>
    <w:rsid w:val="00F65641"/>
    <w:rsid w:val="00FA4D3E"/>
    <w:rsid w:val="00FA5CA4"/>
    <w:rsid w:val="00FC7E7B"/>
    <w:rsid w:val="00FD0BF5"/>
    <w:rsid w:val="00FE07B0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6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411862"/>
  </w:style>
  <w:style w:type="character" w:styleId="a5">
    <w:name w:val="Emphasis"/>
    <w:basedOn w:val="a0"/>
    <w:uiPriority w:val="99"/>
    <w:qFormat/>
    <w:rsid w:val="00411862"/>
    <w:rPr>
      <w:i/>
      <w:iCs/>
    </w:rPr>
  </w:style>
  <w:style w:type="paragraph" w:styleId="a6">
    <w:name w:val="List Paragraph"/>
    <w:basedOn w:val="a"/>
    <w:qFormat/>
    <w:rsid w:val="00411862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1">
    <w:name w:val="No Spacing Char1"/>
    <w:link w:val="2"/>
    <w:locked/>
    <w:rsid w:val="004118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link w:val="NoSpacingChar1"/>
    <w:qFormat/>
    <w:rsid w:val="004118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rvps2">
    <w:name w:val="rvps2"/>
    <w:basedOn w:val="a"/>
    <w:qFormat/>
    <w:rsid w:val="001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C4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6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411862"/>
  </w:style>
  <w:style w:type="character" w:styleId="a5">
    <w:name w:val="Emphasis"/>
    <w:basedOn w:val="a0"/>
    <w:uiPriority w:val="99"/>
    <w:qFormat/>
    <w:rsid w:val="00411862"/>
    <w:rPr>
      <w:i/>
      <w:iCs/>
    </w:rPr>
  </w:style>
  <w:style w:type="paragraph" w:styleId="a6">
    <w:name w:val="List Paragraph"/>
    <w:basedOn w:val="a"/>
    <w:qFormat/>
    <w:rsid w:val="00411862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1">
    <w:name w:val="No Spacing Char1"/>
    <w:link w:val="2"/>
    <w:locked/>
    <w:rsid w:val="004118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link w:val="NoSpacingChar1"/>
    <w:qFormat/>
    <w:rsid w:val="004118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rvps2">
    <w:name w:val="rvps2"/>
    <w:basedOn w:val="a"/>
    <w:qFormat/>
    <w:rsid w:val="001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search/products?local_share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2023-03-22T06:48:00Z</cp:lastPrinted>
  <dcterms:created xsi:type="dcterms:W3CDTF">2023-03-01T06:43:00Z</dcterms:created>
  <dcterms:modified xsi:type="dcterms:W3CDTF">2023-07-07T12:37:00Z</dcterms:modified>
</cp:coreProperties>
</file>