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47" w:rsidRPr="00F064FE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2153E9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Pr="00F0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11862" w:rsidRPr="002153E9" w:rsidRDefault="00D77177" w:rsidP="00411862">
      <w:pPr>
        <w:spacing w:after="0"/>
        <w:ind w:left="6372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(зі змінами від 19</w:t>
      </w:r>
      <w:r w:rsidR="002153E9" w:rsidRPr="002153E9">
        <w:rPr>
          <w:rFonts w:ascii="Times New Roman" w:hAnsi="Times New Roman" w:cs="Times New Roman"/>
          <w:b/>
          <w:i/>
          <w:sz w:val="20"/>
          <w:szCs w:val="20"/>
          <w:lang w:val="uk-UA"/>
        </w:rPr>
        <w:t>.07.2023 р.)</w:t>
      </w:r>
      <w:r w:rsidR="00411862" w:rsidRPr="002153E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</w:t>
      </w:r>
    </w:p>
    <w:p w:rsidR="00411862" w:rsidRPr="00946731" w:rsidRDefault="00411862" w:rsidP="0041186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64F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411862" w:rsidRDefault="00F064FE" w:rsidP="00F064FE">
      <w:pPr>
        <w:tabs>
          <w:tab w:val="left" w:pos="8130"/>
        </w:tabs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ab/>
      </w:r>
    </w:p>
    <w:p w:rsidR="00123DB1" w:rsidRDefault="00703461" w:rsidP="008E4D0A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ТЕХНІЧНІ ВИМОГИ</w:t>
      </w:r>
    </w:p>
    <w:p w:rsidR="006B2441" w:rsidRDefault="00755E71" w:rsidP="008E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Tatra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Т3 шляхом заміни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реостатно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контакторної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 керування на транзисторну-імпульсну (ТІСК) згідно ДК021:2015 код 44430000-3 – Армована обшивка</w:t>
      </w:r>
    </w:p>
    <w:p w:rsid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Замовник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самостійно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визначає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необхідні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характеристики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виходячи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</w:t>
      </w:r>
      <w:proofErr w:type="gram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вл</w:t>
      </w:r>
      <w:proofErr w:type="gram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керуючись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принципами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здійснення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з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дотриманням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законодавства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E4D0A" w:rsidRP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8E4D0A" w:rsidRPr="00C34B28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C34B28" w:rsidRDefault="00755E71" w:rsidP="0075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Tatra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Т3 шляхом заміни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реостатно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контакторної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системи керування на транзисторну-імпульсну (ТІСК) згідно ДК021:2015 код 44430000-3 – Армована обшивка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8D7B89" w:rsidRDefault="00FD0BF5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44430000-3 – Армована обшивка</w:t>
            </w:r>
          </w:p>
        </w:tc>
      </w:tr>
      <w:tr w:rsidR="008E4D0A" w:rsidTr="00755E71">
        <w:trPr>
          <w:trHeight w:val="89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номенклатурної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код</w:t>
            </w:r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002BB" w:rsidRDefault="00FD0BF5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44430000-3 – Армована обшивка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630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2579"/>
              <w:gridCol w:w="567"/>
              <w:gridCol w:w="870"/>
            </w:tblGrid>
            <w:tr w:rsidR="008E4D0A" w:rsidRPr="00351BD7" w:rsidTr="00755E71">
              <w:trPr>
                <w:cantSplit/>
                <w:trHeight w:val="16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Найменування</w:t>
                  </w:r>
                  <w:proofErr w:type="spell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</w:rPr>
                    <w:t>товару/</w:t>
                  </w: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</w:rPr>
                    <w:t>робі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</w:rPr>
                    <w:t>т</w:t>
                  </w:r>
                  <w:proofErr w:type="spellEnd"/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</w:rPr>
                    <w:t>послуг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Од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им</w:t>
                  </w:r>
                  <w:proofErr w:type="spell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Кіль-кість</w:t>
                  </w:r>
                  <w:proofErr w:type="spellEnd"/>
                </w:p>
              </w:tc>
            </w:tr>
            <w:tr w:rsidR="008E4D0A" w:rsidRPr="00351BD7" w:rsidTr="00755E71">
              <w:trPr>
                <w:cantSplit/>
                <w:trHeight w:val="33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6E5E09" w:rsidP="006E5E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Комплекти обшивки для облаштування екстер’єру та інтер’єру салону та кабіни трамвая, що підлягають встановленню при проведенні капітально – відновлювального ремонту з переобладнанням трамвайних вагонів </w:t>
                  </w:r>
                  <w:proofErr w:type="spellStart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Tatra</w:t>
                  </w:r>
                  <w:proofErr w:type="spellEnd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Т3 шляхом заміни </w:t>
                  </w:r>
                  <w:proofErr w:type="spellStart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реостатно-контакторної</w:t>
                  </w:r>
                  <w:proofErr w:type="spellEnd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системи керування на транзисторно-імпульсну (ТІСК 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Водопровідна,1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41491" w:rsidRDefault="008E4D0A" w:rsidP="00755E7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ind w:left="80" w:right="186" w:firstLine="283"/>
              <w:jc w:val="both"/>
              <w:textAlignment w:val="top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залежності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потреби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Строк поставки Товару – </w:t>
            </w:r>
            <w:r w:rsidR="00C34B28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(</w:t>
            </w:r>
            <w:r w:rsidR="00C34B28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тридцять</w:t>
            </w:r>
            <w:r w:rsidRPr="0045719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5719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з дня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отримання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письмової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заявки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на поставку Товару.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</w:tbl>
    <w:p w:rsidR="008E4D0A" w:rsidRPr="00A1361A" w:rsidRDefault="008E4D0A" w:rsidP="008E4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38A9">
        <w:rPr>
          <w:rFonts w:ascii="Times New Roman" w:hAnsi="Times New Roman"/>
          <w:sz w:val="24"/>
          <w:szCs w:val="24"/>
        </w:rPr>
        <w:t>Техн</w:t>
      </w:r>
      <w:proofErr w:type="gramEnd"/>
      <w:r w:rsidRPr="00F338A9">
        <w:rPr>
          <w:rFonts w:ascii="Times New Roman" w:hAnsi="Times New Roman"/>
          <w:sz w:val="24"/>
          <w:szCs w:val="24"/>
        </w:rPr>
        <w:t>ічні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8A9">
        <w:rPr>
          <w:rFonts w:ascii="Times New Roman" w:hAnsi="Times New Roman"/>
          <w:sz w:val="24"/>
          <w:szCs w:val="24"/>
        </w:rPr>
        <w:t>якісні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F338A9">
        <w:rPr>
          <w:rFonts w:ascii="Times New Roman" w:hAnsi="Times New Roman"/>
          <w:sz w:val="24"/>
          <w:szCs w:val="24"/>
        </w:rPr>
        <w:t>/</w:t>
      </w:r>
      <w:proofErr w:type="spellStart"/>
      <w:r w:rsidRPr="00F338A9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38A9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F338A9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умовам</w:t>
      </w:r>
      <w:proofErr w:type="spellEnd"/>
      <w:r w:rsidRPr="00F338A9">
        <w:rPr>
          <w:rFonts w:ascii="Times New Roman" w:hAnsi="Times New Roman"/>
          <w:sz w:val="24"/>
          <w:szCs w:val="24"/>
        </w:rPr>
        <w:t>)).</w:t>
      </w:r>
    </w:p>
    <w:p w:rsidR="008E4D0A" w:rsidRDefault="008E4D0A" w:rsidP="008E4D0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0C1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до того,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складену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довільні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у </w:t>
      </w:r>
      <w:proofErr w:type="spellStart"/>
      <w:r>
        <w:rPr>
          <w:rFonts w:ascii="Times New Roman" w:hAnsi="Times New Roman"/>
          <w:sz w:val="24"/>
          <w:szCs w:val="24"/>
        </w:rPr>
        <w:t>порівняльному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>
        <w:rPr>
          <w:rFonts w:ascii="Times New Roman" w:hAnsi="Times New Roman"/>
          <w:sz w:val="24"/>
          <w:szCs w:val="24"/>
        </w:rPr>
        <w:t>еквівалентного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заявлена 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повинна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зазначено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буде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>)» (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Renault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Duster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)), </w:t>
      </w:r>
      <w:proofErr w:type="spellStart"/>
      <w:r>
        <w:rPr>
          <w:rFonts w:ascii="Times New Roman" w:hAnsi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відхилено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таку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D0A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441" w:rsidRDefault="006B2441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p w:rsidR="005B3318" w:rsidRDefault="005B3318" w:rsidP="005B3318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lastRenderedPageBreak/>
        <w:t>Вимоги до предмету закупівлі:</w:t>
      </w:r>
    </w:p>
    <w:p w:rsidR="005B3318" w:rsidRDefault="005B3318" w:rsidP="005B3318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p w:rsidR="006E5E09" w:rsidRPr="00EE4F5E" w:rsidRDefault="006E5E09" w:rsidP="006B2441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Загальна комплектація: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 комплекту обшивки та елементів для облаштування екстер’єру та інтер’єру салону та кабіни трамвайного вагону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Tatra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Т3 при проведенні капітально-відновлювального ремонту з переобладнанням включено наступне: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Інтер’єр кабіни;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Пульт управління; 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кабіни водія;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зовнішнє;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внутрішнє;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водія;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пасажирські;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Система  поручнів та комплект сходинок салону;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Покриття підлоги кабіни та салону;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Акумуляторна батарея;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Утеплювач;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Скл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;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Інтер’єр кабіни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Інтер’єр кабіни - це перегородка кабіни, внутрішня обшивка та дзеркало заднього виду кабіни.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Перегородка кабіни водія повинна мати зсувні двері, із загартованим склом, замком та ручкою.  Перегородка повинна відгороджувати кабіну водія від пасажирського салону з урахуванням розміщення електричної шафи з дверима на два отвори, вхід у кабіну водія та вихід з кабіни, без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печне запирання кабіни водія.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Внутрішня обшивка кабіни  повинна складатися з формованих склопластикових виробів,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; </w:t>
      </w:r>
      <w:r w:rsidRPr="00EE4F5E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дзекало задного виду кабіни водія повинне забезпечувати водія візуальною інформацєю про обстановку в салоні.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9973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 xml:space="preserve">Пульт управління                     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Пульт управління, оснащений органами управління: кнопки, перемикачі, сигнальні лампи, розетка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прикурювача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USB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роз’єм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.  Підсвічування пульта від схеми живлення 24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 кабіни водія: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 обладнання кабіни водія повинно входити: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світильник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світлодіодний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кабіни водія, вмонтований у стелю, що забезпечує освітлення кабіни водія, у кількості  – 1 од.,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підставка під ломик;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інформаційної системи, що складається з такого обладнання: </w:t>
      </w:r>
    </w:p>
    <w:p w:rsidR="006E5E09" w:rsidRPr="00D77177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1)  бортовий комп’ютер (пристрій управління інформаційною системою з флеш-картою, модулем </w:t>
      </w:r>
      <w:r w:rsidRPr="00D77177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GPS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 підсилювачем звуку); </w:t>
      </w:r>
    </w:p>
    <w:p w:rsidR="006E5E09" w:rsidRPr="00D77177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2) інформаційне переднє табло для відображення номера маршруту, роздільна здатність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не менше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24х16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не більше 32х16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; </w:t>
      </w:r>
    </w:p>
    <w:p w:rsidR="00560EB7" w:rsidRPr="00D77177" w:rsidRDefault="006E5E09" w:rsidP="00560EB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3) інформаційне заднє табло для відображення номера маршруту, роздільна здатність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не менше 24х16 не більше 32х16; </w:t>
      </w:r>
      <w:bookmarkStart w:id="0" w:name="_GoBack"/>
      <w:bookmarkEnd w:id="0"/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4) бічне інформаційне табло для відображення номера маршруту, початкової та кінцевої зупинок маршруту, роздільна здатність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не менше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96х16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не більше 128х16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– 1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5) внутрішнє інформаційне табло, роздільна здатність 96х8 – 1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6) комплект кронштейнів кріплення інформаційних табло;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7) комплект динаміків (4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шт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 та мікрофон;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ролета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сонцезахисна (1350х400 мм) та система її кріплення;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рукава повітропроводів обігріву та охолодження простору кабіни водія та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дефлектори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 – 4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пристрій склоочищувача для видалення вологи (крапель дощу) тощо з вітрового скла трамвайного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>вагону;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склоомивачу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 з бачком та кронштейном;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кондиціонер кабіни водія, живлення від низьковольтної електросхеми,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опалювач кабіни водія: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 xml:space="preserve">максимальна потужність нагрівальних елементів, </w:t>
      </w:r>
      <w:r w:rsidRPr="00D77177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кВт 4,5;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напруга живлення блоку управління і вентилятора, В27;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напруга живлення нагрівального елементу, В600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перепад температур  (вхід—вихід), 0С50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продуктивність вентилятора мах, м3/год. 420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ступень захистуIP-21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max</w:t>
      </w:r>
      <w:proofErr w:type="spellEnd"/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, А1,7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габарити, не більш, мм355x250x230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маса, не більше, кг 7,2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(або еквівалент)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для використання в пасажирському транспорті.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зовнішнє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До комплекту поставки  обладнання зовнішнього входить: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припливно-витяжний вентилятор салону, для встановлення на даху, керування яким здійснюється з кабіни водія від схеми живлення напругою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 фар типу ФГ-122, або аналог,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підсвічуванням, передні та задні габаритні вогні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- підсвічуванням 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дзеркало зворотного вигляду з підігрівом, живлення від схеми 24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дахові фальшборти.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внутрішнє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обладнання внутрішнього входить: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панелей бокових та панелей задньої частини,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панелей стелі,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опалювачі салону – 3 од., система кондиціювання.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 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Панелі бокові  та панелі задньої частини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повинні забезпечувати облицювання підвіконного простору від підлоги до підвіконня пластиковими панелями, або виробами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 комплекту повинні входити алюмінієві профілі, що забезпечують кріплення панелей.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Комплект панелей стелі -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стеля з пластикових панелей,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proofErr w:type="gram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світильники  повинні</w:t>
      </w:r>
      <w:proofErr w:type="gram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забезпечувати розсіяне світло.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Освітлення над дверима в районі сходинок – 1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світильник, живлення від схеми 24 В.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Технічні вимоги до освітлювальних елементів - е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лектроживлення освітлювальних елементів  здійснюється від бортової мережі трамвая з такими параметрами: номінальна напруга - 24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струм – постійний;  діапазон зміни напруги -  21,5 – 30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Освітлювальні елементи повинні бути виконані з використанням LED технологій.</w:t>
      </w:r>
    </w:p>
    <w:p w:rsidR="006E5E09" w:rsidRPr="00997377" w:rsidRDefault="006E5E09" w:rsidP="006E5E09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Опалювачі салону – 3 од.  </w:t>
      </w:r>
    </w:p>
    <w:p w:rsidR="006E5E09" w:rsidRPr="00EE4F5E" w:rsidRDefault="006E5E09" w:rsidP="006E5E09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Максимальна потужність нагрівальних елементів, кВт 3,0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Напруга живлення блоку управління і вентилятора, В 27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Напруга живлення нагрівального елементу, В 600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Перепад температур  (вхід — вихід), 0 С 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Продуктивність вентилятора мах, м</w:t>
      </w:r>
      <w:r w:rsidRPr="00EE4F5E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en-US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/год. 250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Ступень захисту IP-21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max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А 1,7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Габарити, не більш, мм 355x250x230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Маса, не більше, кг 7,1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(або еквівалент)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Для використання в пасажирському транспорті.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Система кондиціювання</w:t>
      </w:r>
      <w:r w:rsidR="00560E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кондиціонер транспортний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 потужністю охолодження</w:t>
      </w:r>
      <w:r w:rsidR="00EA294E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не менше 20 кВт для салону – 1 од., та не менше 2,5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кВт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для кабіни водія -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 од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який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забезпечить безперебійну роботу кондиціювання.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Статичний перетворювач 600/24В, акумуляторні батареї – 2 од по 100Агод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6E5E09" w:rsidRPr="00997377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>Сидіння</w:t>
      </w:r>
      <w:r w:rsidRPr="0099737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 xml:space="preserve"> 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 xml:space="preserve">водія                   </w:t>
      </w:r>
    </w:p>
    <w:p w:rsidR="006E5E09" w:rsidRPr="00EE4F5E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Характеристики та комплектація: Сидіння водія з механічною підвіскою, що дозволяє легко регулювати положення сидіння, повертаючи важіль та не встаючи, регулювати висоту сидіння, поперекову опору і глибину подушки сидіння: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механічна підвіска;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10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100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вертикальний хід підвіски;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8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80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регулювання положення по висоти;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21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210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діапазон регулювання вперед/назад;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регульований кут нахилу спинки;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регульований кут нахилу подушки;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регульована глибина подушки сидіння;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знімний підголівник;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ручне регулювання поперекової опори;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поворотний механізм з розворотом: - 120 ° до 120 °;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підлокітники;</w:t>
      </w:r>
    </w:p>
    <w:p w:rsidR="006E5E09" w:rsidRPr="00D77177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30E1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відповідність вимогам пожежної небезпеки, про що необхідно надати відповідний </w:t>
      </w:r>
      <w:r w:rsidRPr="00BD062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сертифікат</w:t>
      </w:r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якості</w:t>
      </w:r>
      <w:r w:rsidRPr="00BD062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або протокол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випробувань;</w:t>
      </w:r>
    </w:p>
    <w:p w:rsidR="006E5E09" w:rsidRPr="00EE4F5E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Габарити: Довжина 5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35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мм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583 мм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., Ширина з підлокітниками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570 мм -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658 мм, Ширина без підлокітників 490 мм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510 мм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Висота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1070 мм -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1092 мм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C019138" wp14:editId="232CE26B">
            <wp:extent cx="1308818" cy="2028668"/>
            <wp:effectExtent l="19050" t="0" r="56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20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Сидіння водія без дефектів, пов’язаних з матеріалами та/або роботою по їх виготовленню, які виявляються в результаті дії або упущення виробника та/або постачальника. Товар новий, не пізніше 2020 року виготовлення.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/>
        </w:rPr>
      </w:pP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Сидіння пасажирські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Для комплектації інтер’єру салону необхідні: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пасажирські, нові,  у кількості не менше, ніж 24 шт. – 23 одинарних та 1-го  полуторного сидіння для осіб з обмеженими фізичними можливостями. Корпус сидіння модульний складається з суцільнолитого пластику і пластикових вставок: корпус, сидіння та спинка. Сидіння та спинка обтягнуті тканиною. Тканина сидіння транспортного виконання (килимове покриття). У верхній частині сидіння встановлений поручень, виготовлений із суцільнолитого пластику.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Габаритні розміри сидіння (разом з поручнем) одинарного:</w:t>
      </w:r>
    </w:p>
    <w:p w:rsidR="006E5E09" w:rsidRPr="00D771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довжина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: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547мм -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575мм,</w:t>
      </w:r>
    </w:p>
    <w:p w:rsidR="006E5E09" w:rsidRPr="00D771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ширина: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421мм - 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442 мм,</w:t>
      </w:r>
    </w:p>
    <w:p w:rsidR="006E5E09" w:rsidRPr="00D771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висота: 622 мм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630 мм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</w:p>
    <w:p w:rsidR="006E5E09" w:rsidRPr="00D771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Габаритні розміри полуторного сидіння:</w:t>
      </w:r>
    </w:p>
    <w:p w:rsidR="006E5E09" w:rsidRPr="00D771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довжина 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550 мм -570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мм,</w:t>
      </w:r>
    </w:p>
    <w:p w:rsidR="006E5E09" w:rsidRPr="00D771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>- ширина 680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мм -700 мм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висота 610 мм</w:t>
      </w:r>
      <w:r w:rsidR="00560EB7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670 мм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не повинні мати дефекти, що пов’язані з матеріалами та/або  роботою по їх виготовленню.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На сидіннях повинний бути вишитий логотип за узгодженням із замовником.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Система поручнів та комплект сходинок салону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До комплекту системи поручнів входять: поручні салону горизонтальні та кутові, кінцеві поручні та стійки, що кріпляться до кронштейнів сидінь пасажирських, перила, тримачі, з’єднувачі та опори. </w:t>
      </w:r>
      <w:r w:rsidRP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поручнів повинен відповідати вимогам ДСТУ 4070 – 201</w:t>
      </w:r>
      <w:r w:rsidRPr="00470D1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9.</w:t>
      </w:r>
    </w:p>
    <w:p w:rsidR="006E5E09" w:rsidRPr="00997377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Комплект поручнів пофарбований методом порошкового фарбування металу (колір поручнів узгоджується із замовником).  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Оздоблення  сходинок салону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виконан</w:t>
      </w:r>
      <w:r w:rsidRPr="009973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нержавіючої сталі.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Покриття підлоги кабіни та салону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Покриття підлоги (ПВХ) із зносостійким шаром не менше, ніж 0,</w:t>
      </w:r>
      <w:r w:rsidR="00594D0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2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мм, у транспортному виконанні (призначене для транспорту), з властивостями проти ковзкого покриття, в комплекті з необхідною кількістю спеціально призначеного для вказаного покриття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клеючего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матеріалу та відповідними профілями і кутниками з анті ковзкою вставкою жовтого кольору для закріплення покриття підлоги.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Акумуляторна батарея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Акумуляторна батарея – </w:t>
      </w:r>
      <w:r w:rsidRPr="00594D0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нікель – кадмієва</w:t>
      </w:r>
      <w:r w:rsidR="00594D0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(типу НК125)</w:t>
      </w:r>
      <w:r w:rsidR="00594D0A" w:rsidRPr="00594D0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594D0A"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або калій-літієва (типу КЛ 125)</w:t>
      </w:r>
      <w:r w:rsidRPr="00D771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20 акумуляторних банок, що з’єднані послідовно та надають напругу не менше 24 В у зарядженому стані. Забезпечення бездоганної надійності при роботі у  діапазоні температур від -40° до +45°С.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кришці акумулятора рельєфним методом повинні бути нанесені маркування, що містять: назву підприємства-виробника; умовну познаку акумулятора; дату виготовлення (квартал, рік); знак полярності.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Утеплювач.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якості утеплювача  застосувати вироби з  мінеральної вати на основі базальтового волокна без покриття та з однобічним покриттям склотканиною. Вироби повинні відповідати  ДСТУ 4049-2001 та ЦУО – 0039.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Скл</w:t>
      </w:r>
      <w:r w:rsidR="00930E1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Для скління бічних віконних отворів застосовувати загартоване скло, для лобових передніх, задніх та дверних стекол, а також для бічних косинців застосовувати скло типу триплекс. Розміри стекол  за узгодженням із замовником.</w:t>
      </w:r>
    </w:p>
    <w:p w:rsidR="006E5E09" w:rsidRPr="009973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Встановлений  строк служби  комплекту 10 років.</w:t>
      </w:r>
    </w:p>
    <w:p w:rsidR="006E5E09" w:rsidRPr="00EE4F5E" w:rsidRDefault="006E5E09" w:rsidP="006E5E09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Комплект  інтер’єру кабіни, корпус пульта, перегородка кабіни водія, комплект панелей бокових, комплект панелей стелі та задньої частин, складаються, в основному, зі склопластикових, пластикових та металевих виробів, або 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що припасовані один до одного та забезпечують комфорт та безпеку пасажиру та водію.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2. Вироби комплекту, а також застосоване обладнання та матеріали повинні бути виготовлені 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всекліматичному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виконанні, для розміщення всередині салону вагона трамвая. При цьому діапазон температур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повітря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від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0°С до + 40°С. </w:t>
      </w:r>
    </w:p>
    <w:p w:rsidR="006E5E09" w:rsidRPr="00BD0620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3. Застосовані  матеріали повинні відповідати вимогам ДСТУ 4049:2001 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та/або  ДСТУ 8829:2019 </w:t>
      </w:r>
      <w:r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частині вимог пожежної безпеки.  Дефекти матеріалу неприпустимі.</w:t>
      </w:r>
    </w:p>
    <w:p w:rsidR="004F4785" w:rsidRPr="00BD0620" w:rsidRDefault="004F4785" w:rsidP="004F478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6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продукція виготовляється за ТУ, або технічним завданням (далі – ТЗ) в наданих документах повинно міститись посилання на ТУ (або ТЗ) </w:t>
      </w:r>
      <w:r w:rsidR="00150F75" w:rsidRPr="00BD06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4. Неметалеві матеріали, що застосовані в комплекті, повинні мати сан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ітарно-епідеміологічні висновки, або сертифікат (</w:t>
      </w:r>
      <w:proofErr w:type="spellStart"/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сертифікат</w:t>
      </w:r>
      <w:proofErr w:type="spellEnd"/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та/або сертифікат 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якості </w:t>
      </w:r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та/або сертифікат</w:t>
      </w:r>
      <w:r w:rsidR="00930E12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відповідності</w:t>
      </w:r>
      <w:r w:rsidR="00470D13" w:rsidRPr="00BD062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), або паспорт  якості , або технічний паспорт (інструкція з експлуатації).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5 Елементи комплектів повинні відповідати вимогам показників пожежної небезпеки та відноситися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 xml:space="preserve">до матеріалів групи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горючості–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важко горючий матеріал, мати показники щодо токсичності продуктів його горіння - помірно небезпечний, мати властивості щодо поширення полум’я - не поширює полум’я поверхнею, коефіцієнт димоутворення повинен бути на рівні матеріалів з помірною димоутворювальною здатністю. У складі пропозиції повинно бути надано сертифікат відповідності щодо відповідності таким вимогам.</w:t>
      </w:r>
    </w:p>
    <w:p w:rsidR="003C1D74" w:rsidRDefault="006E5E09" w:rsidP="003C1D74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складі пропозиції повинно бути надано «сертифікат відповідності» щодо відповідності таким вимогам.</w:t>
      </w:r>
      <w:r w:rsidR="003C1D7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</w:t>
      </w:r>
    </w:p>
    <w:p w:rsidR="00892AA7" w:rsidRPr="003C1D74" w:rsidRDefault="006E5E09" w:rsidP="003C1D74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E38D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0E1E76" w:rsidRPr="000E38DC">
        <w:rPr>
          <w:rFonts w:ascii="Times New Roman" w:hAnsi="Times New Roman"/>
          <w:b/>
          <w:sz w:val="24"/>
          <w:szCs w:val="24"/>
          <w:u w:val="single"/>
          <w:lang w:val="uk-UA"/>
        </w:rPr>
        <w:t>(або еквівалент)</w:t>
      </w:r>
    </w:p>
    <w:p w:rsidR="00C34B28" w:rsidRPr="000E38DC" w:rsidRDefault="00C34B28" w:rsidP="000E38DC">
      <w:pPr>
        <w:tabs>
          <w:tab w:val="left" w:pos="3834"/>
        </w:tabs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11862" w:rsidRPr="00281539" w:rsidRDefault="00411862" w:rsidP="00411862">
      <w:pPr>
        <w:spacing w:before="20" w:after="20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A5561F" w:rsidRDefault="00411862" w:rsidP="00A5561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2.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281539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>Учасник гарантує, що п</w:t>
      </w:r>
      <w:r w:rsidRPr="00281539">
        <w:rPr>
          <w:rFonts w:ascii="Times New Roman" w:hAnsi="Times New Roman"/>
          <w:sz w:val="24"/>
          <w:szCs w:val="24"/>
          <w:lang w:val="uk-UA"/>
        </w:rPr>
        <w:t xml:space="preserve">редмет закупівлі (продукція, тара, пакування, транспортування) </w:t>
      </w:r>
      <w:r w:rsidRPr="00281539">
        <w:rPr>
          <w:rStyle w:val="a5"/>
          <w:rFonts w:ascii="Times New Roman" w:hAnsi="Times New Roman"/>
          <w:i w:val="0"/>
          <w:sz w:val="24"/>
          <w:szCs w:val="24"/>
          <w:lang w:val="uk-UA"/>
        </w:rPr>
        <w:t>не</w:t>
      </w:r>
      <w:r w:rsidRPr="00281539">
        <w:rPr>
          <w:rStyle w:val="a5"/>
          <w:rFonts w:ascii="Times New Roman" w:hAnsi="Times New Roman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sz w:val="24"/>
          <w:szCs w:val="24"/>
          <w:lang w:val="uk-UA"/>
        </w:rPr>
        <w:t>завдаватиме шкоди навколишньому середовищу та передбачатиме заходи щодо захисту довкілля.</w:t>
      </w:r>
    </w:p>
    <w:p w:rsidR="006C70CA" w:rsidRDefault="006C70CA" w:rsidP="00A5561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</w:p>
    <w:p w:rsidR="00281539" w:rsidRPr="00A5561F" w:rsidRDefault="00281539" w:rsidP="00A55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Обґрунтування необхідності закупівлі даного виду товару :</w:t>
      </w:r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168C">
        <w:rPr>
          <w:rFonts w:ascii="Times New Roman" w:eastAsia="Times New Roman" w:hAnsi="Times New Roman" w:cs="Times New Roman"/>
          <w:sz w:val="24"/>
          <w:szCs w:val="24"/>
        </w:rPr>
        <w:t>товару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потребам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абзацом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у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порядком є Порядок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02.08.2022 № 861.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ступеня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hyperlink r:id="rId7" w:tgtFrame="_blank" w:history="1"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переліку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локалізованих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товарів</w:t>
        </w:r>
        <w:proofErr w:type="spellEnd"/>
      </w:hyperlink>
      <w: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AC4872" w:rsidRDefault="00AC4872" w:rsidP="00AC48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формою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наведений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походження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митну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декларацію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ввезення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територію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 24.02.2022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наведена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</w:t>
      </w:r>
    </w:p>
    <w:tbl>
      <w:tblPr>
        <w:tblW w:w="1009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57"/>
        <w:gridCol w:w="2126"/>
        <w:gridCol w:w="2977"/>
        <w:gridCol w:w="992"/>
        <w:gridCol w:w="1134"/>
        <w:gridCol w:w="1276"/>
        <w:gridCol w:w="1134"/>
      </w:tblGrid>
      <w:tr w:rsidR="00AC4872" w:rsidRPr="002D170D" w:rsidTr="00892AA7">
        <w:trPr>
          <w:trHeight w:val="99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№ з/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товару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Техн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ічні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Од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в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Виробник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походження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товару**</w:t>
            </w:r>
          </w:p>
        </w:tc>
      </w:tr>
      <w:tr w:rsidR="00AC4872" w:rsidRPr="002D170D" w:rsidTr="00892AA7">
        <w:trPr>
          <w:trHeight w:val="464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AC4872" w:rsidRPr="002D170D" w:rsidTr="00892AA7">
        <w:trPr>
          <w:trHeight w:val="128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4872" w:rsidRPr="00265D32" w:rsidRDefault="00AC4872" w:rsidP="00755E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892AA7" w:rsidRPr="00AC4872" w:rsidRDefault="00AC4872" w:rsidP="00892AA7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259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AC4872" w:rsidRPr="00AC4872" w:rsidRDefault="00AC4872" w:rsidP="00755E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4872" w:rsidRPr="002D170D" w:rsidRDefault="00AC4872" w:rsidP="00755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AC4872" w:rsidRDefault="00AC4872" w:rsidP="00AC4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тощо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товару 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</w:rPr>
        <w:t>якій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</w:rPr>
        <w:t>був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ідданий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</w:p>
    <w:p w:rsidR="00AC4872" w:rsidRPr="00452159" w:rsidRDefault="00AC4872" w:rsidP="00AC4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●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гаранту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ступінь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локалізації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підпунктом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пункту 6-1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Прикінцевих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перехідних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Закону,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предметом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</w:t>
      </w: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відсотків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 (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товар,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зазначаються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відсутності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загальному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доступі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AC4872" w:rsidRPr="005335D1" w:rsidRDefault="00AC4872" w:rsidP="0053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застосовується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товарів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суми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зазначені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укладеній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квітня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1994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Марракеші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Протоколом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вчиненим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30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березня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2012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Женеві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міжнародних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згода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Верховною Радою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зокрема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угодах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вільну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торгівлю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гривневому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дату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країною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уклала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угоди,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приєдналася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сертифікатом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ненадання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відхилена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як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встановленим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абзацом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першим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статті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22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законодавства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z w:val="24"/>
          <w:szCs w:val="24"/>
          <w:lang w:val="uk-UA"/>
        </w:rPr>
        <w:t>Увага!!!</w:t>
      </w:r>
    </w:p>
    <w:p w:rsidR="00281539" w:rsidRPr="00281539" w:rsidRDefault="00281539" w:rsidP="00281539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28153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 xml:space="preserve">можливість </w:t>
      </w:r>
      <w:r w:rsidRPr="00281539">
        <w:rPr>
          <w:rFonts w:ascii="Times New Roman" w:hAnsi="Times New Roman"/>
          <w:b/>
          <w:bCs/>
          <w:sz w:val="24"/>
          <w:szCs w:val="24"/>
          <w:lang w:val="uk-UA"/>
        </w:rPr>
        <w:t>поставки товару, у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відповідності до вимог, визначених згідно з умовами тендерної документації.</w:t>
      </w:r>
    </w:p>
    <w:p w:rsidR="00281539" w:rsidRPr="00F834BE" w:rsidRDefault="00281539" w:rsidP="00281539">
      <w:pPr>
        <w:spacing w:after="0" w:line="240" w:lineRule="auto"/>
        <w:ind w:firstLine="539"/>
        <w:jc w:val="both"/>
        <w:rPr>
          <w:lang w:val="uk-UA"/>
        </w:rPr>
      </w:pPr>
    </w:p>
    <w:p w:rsidR="00A64342" w:rsidRPr="00A64342" w:rsidRDefault="00A64342">
      <w:pPr>
        <w:tabs>
          <w:tab w:val="left" w:pos="383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A64342" w:rsidRPr="00A64342" w:rsidSect="006B2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45"/>
    <w:multiLevelType w:val="hybridMultilevel"/>
    <w:tmpl w:val="5EAE99D6"/>
    <w:lvl w:ilvl="0" w:tplc="7E923004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">
    <w:nsid w:val="069C392B"/>
    <w:multiLevelType w:val="hybridMultilevel"/>
    <w:tmpl w:val="83BA0DC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40A92"/>
    <w:multiLevelType w:val="hybridMultilevel"/>
    <w:tmpl w:val="895C0802"/>
    <w:lvl w:ilvl="0" w:tplc="68AC2276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CA65FC"/>
    <w:multiLevelType w:val="hybridMultilevel"/>
    <w:tmpl w:val="6C2EA78A"/>
    <w:lvl w:ilvl="0" w:tplc="D3784F58">
      <w:start w:val="40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B019FC"/>
    <w:multiLevelType w:val="multilevel"/>
    <w:tmpl w:val="2D38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77DB0"/>
    <w:multiLevelType w:val="hybridMultilevel"/>
    <w:tmpl w:val="6E0AD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B327FCD"/>
    <w:multiLevelType w:val="hybridMultilevel"/>
    <w:tmpl w:val="B122F2B4"/>
    <w:lvl w:ilvl="0" w:tplc="FD123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862"/>
    <w:rsid w:val="00000589"/>
    <w:rsid w:val="00006882"/>
    <w:rsid w:val="000108BD"/>
    <w:rsid w:val="000821B8"/>
    <w:rsid w:val="000A7B41"/>
    <w:rsid w:val="000E1E76"/>
    <w:rsid w:val="000E38DC"/>
    <w:rsid w:val="000E66A4"/>
    <w:rsid w:val="00123DB1"/>
    <w:rsid w:val="00124BBF"/>
    <w:rsid w:val="00150F75"/>
    <w:rsid w:val="001E4799"/>
    <w:rsid w:val="00210347"/>
    <w:rsid w:val="002153E9"/>
    <w:rsid w:val="00221539"/>
    <w:rsid w:val="002469AA"/>
    <w:rsid w:val="002513B7"/>
    <w:rsid w:val="00281539"/>
    <w:rsid w:val="00287427"/>
    <w:rsid w:val="002B3A79"/>
    <w:rsid w:val="002C4003"/>
    <w:rsid w:val="002E75E7"/>
    <w:rsid w:val="003544B9"/>
    <w:rsid w:val="00396F61"/>
    <w:rsid w:val="003C1D74"/>
    <w:rsid w:val="003C6213"/>
    <w:rsid w:val="003D18FE"/>
    <w:rsid w:val="003E659B"/>
    <w:rsid w:val="00411862"/>
    <w:rsid w:val="00422C9E"/>
    <w:rsid w:val="00466A44"/>
    <w:rsid w:val="00467926"/>
    <w:rsid w:val="00470D13"/>
    <w:rsid w:val="00472CFA"/>
    <w:rsid w:val="004748F9"/>
    <w:rsid w:val="004A4C8F"/>
    <w:rsid w:val="004D3C0D"/>
    <w:rsid w:val="004F4785"/>
    <w:rsid w:val="00506564"/>
    <w:rsid w:val="005335D1"/>
    <w:rsid w:val="00560EB7"/>
    <w:rsid w:val="00590F5E"/>
    <w:rsid w:val="00594D0A"/>
    <w:rsid w:val="005B3318"/>
    <w:rsid w:val="005E09A3"/>
    <w:rsid w:val="0060710F"/>
    <w:rsid w:val="00676A9A"/>
    <w:rsid w:val="006B2441"/>
    <w:rsid w:val="006B75A1"/>
    <w:rsid w:val="006C335B"/>
    <w:rsid w:val="006C70CA"/>
    <w:rsid w:val="006E5E09"/>
    <w:rsid w:val="00703461"/>
    <w:rsid w:val="007177B1"/>
    <w:rsid w:val="00755E71"/>
    <w:rsid w:val="007A1671"/>
    <w:rsid w:val="007C2E29"/>
    <w:rsid w:val="007C6747"/>
    <w:rsid w:val="007E465B"/>
    <w:rsid w:val="007E5BF0"/>
    <w:rsid w:val="00800920"/>
    <w:rsid w:val="0080138A"/>
    <w:rsid w:val="0082531B"/>
    <w:rsid w:val="0086259A"/>
    <w:rsid w:val="00892AA7"/>
    <w:rsid w:val="008A5BF7"/>
    <w:rsid w:val="008C240C"/>
    <w:rsid w:val="008D171C"/>
    <w:rsid w:val="008E2E77"/>
    <w:rsid w:val="008E4D0A"/>
    <w:rsid w:val="0090601D"/>
    <w:rsid w:val="00906379"/>
    <w:rsid w:val="00930BAA"/>
    <w:rsid w:val="00930E12"/>
    <w:rsid w:val="009632B7"/>
    <w:rsid w:val="0097640B"/>
    <w:rsid w:val="009812E1"/>
    <w:rsid w:val="009B3BC5"/>
    <w:rsid w:val="009F01A0"/>
    <w:rsid w:val="009F30C1"/>
    <w:rsid w:val="009F45D8"/>
    <w:rsid w:val="00A233F7"/>
    <w:rsid w:val="00A44F29"/>
    <w:rsid w:val="00A5561F"/>
    <w:rsid w:val="00A64342"/>
    <w:rsid w:val="00A64F60"/>
    <w:rsid w:val="00A8566E"/>
    <w:rsid w:val="00AC4872"/>
    <w:rsid w:val="00AD522A"/>
    <w:rsid w:val="00AD644B"/>
    <w:rsid w:val="00B12050"/>
    <w:rsid w:val="00B936BF"/>
    <w:rsid w:val="00BC4C9F"/>
    <w:rsid w:val="00BD0620"/>
    <w:rsid w:val="00C25E5C"/>
    <w:rsid w:val="00C30C52"/>
    <w:rsid w:val="00C33582"/>
    <w:rsid w:val="00C34B28"/>
    <w:rsid w:val="00C503DA"/>
    <w:rsid w:val="00C74BF1"/>
    <w:rsid w:val="00C75FD1"/>
    <w:rsid w:val="00C93F8D"/>
    <w:rsid w:val="00C95A63"/>
    <w:rsid w:val="00CA0C4A"/>
    <w:rsid w:val="00CB3004"/>
    <w:rsid w:val="00CB471E"/>
    <w:rsid w:val="00D15FD8"/>
    <w:rsid w:val="00D24C2E"/>
    <w:rsid w:val="00D34191"/>
    <w:rsid w:val="00D77177"/>
    <w:rsid w:val="00DC168C"/>
    <w:rsid w:val="00DE73B5"/>
    <w:rsid w:val="00E14F20"/>
    <w:rsid w:val="00E236EA"/>
    <w:rsid w:val="00E23C66"/>
    <w:rsid w:val="00E755F3"/>
    <w:rsid w:val="00E9265F"/>
    <w:rsid w:val="00EA294E"/>
    <w:rsid w:val="00ED052A"/>
    <w:rsid w:val="00ED5D97"/>
    <w:rsid w:val="00EE58B1"/>
    <w:rsid w:val="00EF1BE7"/>
    <w:rsid w:val="00F019CA"/>
    <w:rsid w:val="00F064FE"/>
    <w:rsid w:val="00F22E8C"/>
    <w:rsid w:val="00F4203D"/>
    <w:rsid w:val="00F65641"/>
    <w:rsid w:val="00FA4D3E"/>
    <w:rsid w:val="00FA5CA4"/>
    <w:rsid w:val="00FC7E7B"/>
    <w:rsid w:val="00FD0BF5"/>
    <w:rsid w:val="00FE07B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search/products?local_shar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2023-07-14T07:19:00Z</cp:lastPrinted>
  <dcterms:created xsi:type="dcterms:W3CDTF">2023-03-01T06:43:00Z</dcterms:created>
  <dcterms:modified xsi:type="dcterms:W3CDTF">2023-07-19T13:27:00Z</dcterms:modified>
</cp:coreProperties>
</file>