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C27869" w:rsidRDefault="008A4136" w:rsidP="00580AC9">
            <w:pPr>
              <w:widowControl w:val="0"/>
              <w:ind w:right="142"/>
              <w:rPr>
                <w:snapToGrid w:val="0"/>
                <w:sz w:val="22"/>
                <w:szCs w:val="22"/>
                <w:lang w:val="uk-UA"/>
              </w:rPr>
            </w:pPr>
            <w:r>
              <w:rPr>
                <w:snapToGrid w:val="0"/>
                <w:sz w:val="22"/>
                <w:szCs w:val="22"/>
                <w:lang w:val="uk-UA"/>
              </w:rPr>
              <w:t>від «17» квітня 2024 № 33</w:t>
            </w:r>
          </w:p>
          <w:p w:rsidR="00BB170D" w:rsidRDefault="00BB170D" w:rsidP="00580AC9">
            <w:pPr>
              <w:widowControl w:val="0"/>
              <w:ind w:right="142"/>
              <w:rPr>
                <w:snapToGrid w:val="0"/>
                <w:sz w:val="22"/>
                <w:szCs w:val="22"/>
                <w:lang w:val="uk-UA"/>
              </w:rPr>
            </w:pPr>
            <w:r>
              <w:rPr>
                <w:snapToGrid w:val="0"/>
                <w:sz w:val="22"/>
                <w:szCs w:val="22"/>
                <w:lang w:val="uk-UA"/>
              </w:rPr>
              <w:t>від 19.04.2024 № 34</w:t>
            </w:r>
          </w:p>
          <w:p w:rsidR="008D08DF" w:rsidRDefault="008D08DF" w:rsidP="00580AC9">
            <w:pPr>
              <w:widowControl w:val="0"/>
              <w:ind w:right="142"/>
              <w:rPr>
                <w:snapToGrid w:val="0"/>
                <w:sz w:val="22"/>
                <w:szCs w:val="22"/>
                <w:lang w:val="uk-UA"/>
              </w:rPr>
            </w:pPr>
            <w:r>
              <w:rPr>
                <w:snapToGrid w:val="0"/>
                <w:sz w:val="22"/>
                <w:szCs w:val="22"/>
                <w:lang w:val="uk-UA"/>
              </w:rPr>
              <w:t xml:space="preserve">від 20.04.2024 </w:t>
            </w:r>
            <w:r w:rsidR="00C45254" w:rsidRPr="00C45254">
              <w:rPr>
                <w:snapToGrid w:val="0"/>
                <w:sz w:val="22"/>
                <w:szCs w:val="22"/>
                <w:lang w:val="uk-UA"/>
              </w:rPr>
              <w:t>№36</w:t>
            </w:r>
          </w:p>
          <w:p w:rsidR="009459A6" w:rsidRDefault="00264CBF" w:rsidP="00580AC9">
            <w:pPr>
              <w:widowControl w:val="0"/>
              <w:ind w:right="142"/>
              <w:rPr>
                <w:snapToGrid w:val="0"/>
                <w:sz w:val="22"/>
                <w:szCs w:val="22"/>
                <w:lang w:val="uk-UA"/>
              </w:rPr>
            </w:pPr>
            <w:r>
              <w:rPr>
                <w:snapToGrid w:val="0"/>
                <w:sz w:val="22"/>
                <w:szCs w:val="22"/>
                <w:lang w:val="uk-UA"/>
              </w:rPr>
              <w:t>від 2</w:t>
            </w:r>
            <w:r w:rsidR="00590371">
              <w:rPr>
                <w:snapToGrid w:val="0"/>
                <w:sz w:val="22"/>
                <w:szCs w:val="22"/>
                <w:lang w:val="uk-UA"/>
              </w:rPr>
              <w:t>3</w:t>
            </w:r>
            <w:r>
              <w:rPr>
                <w:snapToGrid w:val="0"/>
                <w:sz w:val="22"/>
                <w:szCs w:val="22"/>
                <w:lang w:val="uk-UA"/>
              </w:rPr>
              <w:t>.04.2024 № 38</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Default="00186A10" w:rsidP="00CF74D5">
      <w:pPr>
        <w:jc w:val="center"/>
        <w:rPr>
          <w:b/>
          <w:sz w:val="32"/>
          <w:szCs w:val="32"/>
          <w:lang w:val="uk-UA" w:eastAsia="uk-UA"/>
        </w:rPr>
      </w:pPr>
      <w:r w:rsidRPr="00CF74D5">
        <w:rPr>
          <w:b/>
          <w:sz w:val="32"/>
          <w:szCs w:val="32"/>
          <w:lang w:val="uk-UA" w:eastAsia="uk-UA"/>
        </w:rPr>
        <w:t>ТЕНДЕРНА ДОКУМЕНТАЦІЯ</w:t>
      </w:r>
    </w:p>
    <w:p w:rsidR="00BB170D" w:rsidRPr="00CF74D5" w:rsidRDefault="00BB170D" w:rsidP="00CF74D5">
      <w:pPr>
        <w:jc w:val="center"/>
        <w:rPr>
          <w:color w:val="auto"/>
          <w:sz w:val="32"/>
          <w:szCs w:val="32"/>
          <w:lang w:val="uk-UA" w:eastAsia="uk-UA"/>
        </w:rPr>
      </w:pPr>
      <w:r>
        <w:rPr>
          <w:b/>
          <w:sz w:val="32"/>
          <w:szCs w:val="32"/>
          <w:lang w:val="uk-UA" w:eastAsia="uk-UA"/>
        </w:rPr>
        <w:t>(зі змінами)</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 xml:space="preserve">1178 (в редакції постанови Кабінету Міністрів України від 12 травня 2023 року № 471) «Про затвердження особливостей здійснення публічних </w:t>
      </w:r>
      <w:proofErr w:type="spellStart"/>
      <w:r w:rsidRPr="00D2587A">
        <w:rPr>
          <w:lang w:val="uk-UA"/>
        </w:rPr>
        <w:t>закупівель</w:t>
      </w:r>
      <w:proofErr w:type="spellEnd"/>
      <w:r w:rsidRPr="00D2587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w:t>
      </w:r>
      <w:proofErr w:type="spellStart"/>
      <w:r w:rsidRPr="00A25D76">
        <w:rPr>
          <w:b/>
          <w:sz w:val="22"/>
          <w:szCs w:val="32"/>
        </w:rPr>
        <w:t>Асфальтобетонні</w:t>
      </w:r>
      <w:proofErr w:type="spellEnd"/>
      <w:r w:rsidRPr="00A25D76">
        <w:rPr>
          <w:b/>
          <w:sz w:val="22"/>
          <w:szCs w:val="32"/>
        </w:rPr>
        <w:t xml:space="preserve"> </w:t>
      </w:r>
      <w:proofErr w:type="spellStart"/>
      <w:proofErr w:type="gramStart"/>
      <w:r w:rsidRPr="00A25D76">
        <w:rPr>
          <w:b/>
          <w:sz w:val="22"/>
          <w:szCs w:val="32"/>
        </w:rPr>
        <w:t>сум</w:t>
      </w:r>
      <w:r w:rsidR="005811D1">
        <w:rPr>
          <w:b/>
          <w:sz w:val="22"/>
          <w:szCs w:val="32"/>
        </w:rPr>
        <w:t>іші</w:t>
      </w:r>
      <w:proofErr w:type="spellEnd"/>
      <w:r w:rsidR="005811D1">
        <w:rPr>
          <w:b/>
          <w:sz w:val="22"/>
          <w:szCs w:val="32"/>
        </w:rPr>
        <w:t xml:space="preserve"> </w:t>
      </w:r>
      <w:r w:rsidRPr="00A25D76">
        <w:rPr>
          <w:b/>
          <w:sz w:val="22"/>
          <w:szCs w:val="32"/>
        </w:rPr>
        <w:t>)</w:t>
      </w:r>
      <w:proofErr w:type="gramEnd"/>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proofErr w:type="spellStart"/>
            <w:r w:rsidRPr="00B86459">
              <w:rPr>
                <w:b/>
                <w:bCs/>
              </w:rPr>
              <w:t>Комунальне</w:t>
            </w:r>
            <w:proofErr w:type="spellEnd"/>
            <w:r w:rsidRPr="00B86459">
              <w:rPr>
                <w:b/>
                <w:bCs/>
              </w:rPr>
              <w:t xml:space="preserve"> </w:t>
            </w:r>
            <w:proofErr w:type="spellStart"/>
            <w:r w:rsidRPr="00B86459">
              <w:rPr>
                <w:b/>
                <w:bCs/>
              </w:rPr>
              <w:t>підприємство</w:t>
            </w:r>
            <w:proofErr w:type="spellEnd"/>
            <w:r w:rsidRPr="00B86459">
              <w:rPr>
                <w:b/>
                <w:bCs/>
              </w:rPr>
              <w:t xml:space="preserve"> «</w:t>
            </w:r>
            <w:proofErr w:type="spellStart"/>
            <w:r w:rsidRPr="00B86459">
              <w:rPr>
                <w:b/>
                <w:bCs/>
              </w:rPr>
              <w:t>Шляхово-експлуатаційне</w:t>
            </w:r>
            <w:proofErr w:type="spellEnd"/>
            <w:r w:rsidRPr="00B86459">
              <w:rPr>
                <w:b/>
                <w:bCs/>
              </w:rPr>
              <w:t xml:space="preserve"> </w:t>
            </w:r>
            <w:proofErr w:type="spellStart"/>
            <w:r w:rsidRPr="00B86459">
              <w:rPr>
                <w:b/>
                <w:bCs/>
              </w:rPr>
              <w:t>управління</w:t>
            </w:r>
            <w:proofErr w:type="spellEnd"/>
            <w:r w:rsidRPr="00B86459">
              <w:rPr>
                <w:b/>
                <w:bCs/>
              </w:rPr>
              <w:t xml:space="preserve"> по ремонту та </w:t>
            </w:r>
            <w:proofErr w:type="spellStart"/>
            <w:r w:rsidRPr="00B86459">
              <w:rPr>
                <w:b/>
                <w:bCs/>
              </w:rPr>
              <w:t>утриманню</w:t>
            </w:r>
            <w:proofErr w:type="spellEnd"/>
            <w:r w:rsidRPr="00B86459">
              <w:rPr>
                <w:b/>
                <w:bCs/>
              </w:rPr>
              <w:t xml:space="preserve"> </w:t>
            </w:r>
            <w:proofErr w:type="spellStart"/>
            <w:r w:rsidRPr="00B86459">
              <w:rPr>
                <w:b/>
                <w:bCs/>
              </w:rPr>
              <w:t>автомобільних</w:t>
            </w:r>
            <w:proofErr w:type="spellEnd"/>
            <w:r w:rsidRPr="00B86459">
              <w:rPr>
                <w:b/>
                <w:bCs/>
              </w:rPr>
              <w:t xml:space="preserve"> </w:t>
            </w:r>
            <w:proofErr w:type="spellStart"/>
            <w:r w:rsidRPr="00B86459">
              <w:rPr>
                <w:b/>
                <w:bCs/>
              </w:rPr>
              <w:t>шляхів</w:t>
            </w:r>
            <w:proofErr w:type="spellEnd"/>
            <w:r w:rsidRPr="00B86459">
              <w:rPr>
                <w:b/>
                <w:bCs/>
              </w:rPr>
              <w:t xml:space="preserve"> та </w:t>
            </w:r>
            <w:proofErr w:type="spellStart"/>
            <w:r w:rsidRPr="00B86459">
              <w:rPr>
                <w:b/>
                <w:bCs/>
              </w:rPr>
              <w:t>споруд</w:t>
            </w:r>
            <w:proofErr w:type="spellEnd"/>
            <w:r w:rsidRPr="00B86459">
              <w:rPr>
                <w:b/>
                <w:bCs/>
              </w:rPr>
              <w:t xml:space="preserve"> на них </w:t>
            </w:r>
            <w:proofErr w:type="spellStart"/>
            <w:r w:rsidRPr="00B86459">
              <w:rPr>
                <w:b/>
                <w:bCs/>
              </w:rPr>
              <w:t>Деснянського</w:t>
            </w:r>
            <w:proofErr w:type="spellEnd"/>
            <w:r w:rsidRPr="00B86459">
              <w:rPr>
                <w:b/>
                <w:bCs/>
              </w:rPr>
              <w:t xml:space="preserve">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spellStart"/>
            <w:proofErr w:type="gramStart"/>
            <w:r w:rsidRPr="000C260F">
              <w:rPr>
                <w:snapToGrid w:val="0"/>
              </w:rPr>
              <w:t>вул</w:t>
            </w:r>
            <w:proofErr w:type="spellEnd"/>
            <w:proofErr w:type="gramEnd"/>
            <w:r w:rsidRPr="000C260F">
              <w:rPr>
                <w:snapToGrid w:val="0"/>
              </w:rPr>
              <w:t xml:space="preserve">. М. </w:t>
            </w:r>
            <w:proofErr w:type="spellStart"/>
            <w:r w:rsidRPr="000C260F">
              <w:rPr>
                <w:snapToGrid w:val="0"/>
              </w:rPr>
              <w:t>Закревського</w:t>
            </w:r>
            <w:proofErr w:type="spellEnd"/>
            <w:r w:rsidRPr="000C260F">
              <w:rPr>
                <w:snapToGrid w:val="0"/>
              </w:rPr>
              <w:t xml:space="preserve">, 29, м. </w:t>
            </w:r>
            <w:proofErr w:type="spellStart"/>
            <w:r w:rsidRPr="000C260F">
              <w:rPr>
                <w:snapToGrid w:val="0"/>
              </w:rPr>
              <w:t>Київ</w:t>
            </w:r>
            <w:proofErr w:type="spellEnd"/>
            <w:r w:rsidRPr="000C260F">
              <w:rPr>
                <w:snapToGrid w:val="0"/>
              </w:rPr>
              <w:t>,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proofErr w:type="spellStart"/>
            <w:r w:rsidRPr="00EA336E">
              <w:rPr>
                <w:color w:val="auto"/>
              </w:rPr>
              <w:t>повноважена</w:t>
            </w:r>
            <w:proofErr w:type="spellEnd"/>
            <w:r w:rsidRPr="00EA336E">
              <w:rPr>
                <w:color w:val="auto"/>
              </w:rPr>
              <w:t xml:space="preserve">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proofErr w:type="gramStart"/>
            <w:r w:rsidRPr="00EA336E">
              <w:rPr>
                <w:color w:val="auto"/>
                <w:lang w:val="en-US"/>
              </w:rPr>
              <w:t>e-mail</w:t>
            </w:r>
            <w:proofErr w:type="gramEnd"/>
            <w:r w:rsidRPr="00EA336E">
              <w:rPr>
                <w:color w:val="auto"/>
                <w:lang w:val="en-US"/>
              </w:rPr>
              <w:t>:</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 xml:space="preserve">Тендерна документація знаходиться у відкритому доступі через електронну систему </w:t>
            </w:r>
            <w:proofErr w:type="spellStart"/>
            <w:r w:rsidRPr="00EA336E">
              <w:rPr>
                <w:color w:val="auto"/>
                <w:lang w:val="uk-UA"/>
              </w:rPr>
              <w:t>закупівель</w:t>
            </w:r>
            <w:proofErr w:type="spellEnd"/>
            <w:r w:rsidRPr="00EA336E">
              <w:rPr>
                <w:color w:val="auto"/>
                <w:lang w:val="uk-UA"/>
              </w:rPr>
              <w:t xml:space="preserve">. Усі зміни та публікації стосовно тендеру розповсюджуються через електронну систему </w:t>
            </w:r>
            <w:proofErr w:type="spellStart"/>
            <w:r w:rsidRPr="00EA336E">
              <w:rPr>
                <w:color w:val="auto"/>
                <w:lang w:val="uk-UA"/>
              </w:rPr>
              <w:t>закупівель</w:t>
            </w:r>
            <w:proofErr w:type="spellEnd"/>
            <w:r w:rsidRPr="00EA336E">
              <w:rPr>
                <w:color w:val="auto"/>
                <w:lang w:val="uk-UA"/>
              </w:rPr>
              <w:t>.</w:t>
            </w:r>
          </w:p>
          <w:p w:rsidR="00186A10" w:rsidRPr="00186A10" w:rsidRDefault="00EA336E" w:rsidP="00EA336E">
            <w:pPr>
              <w:jc w:val="both"/>
              <w:rPr>
                <w:i/>
                <w:color w:val="FF0000"/>
                <w:highlight w:val="yellow"/>
                <w:lang w:val="uk-UA" w:eastAsia="uk-UA"/>
              </w:rPr>
            </w:pPr>
            <w:r w:rsidRPr="00EA336E">
              <w:rPr>
                <w:color w:val="auto"/>
                <w:lang w:val="uk-UA"/>
              </w:rPr>
              <w:t xml:space="preserve">Усі відповіді стосовно проведення торгів надаються через електронну систему </w:t>
            </w:r>
            <w:proofErr w:type="spellStart"/>
            <w:r w:rsidRPr="00EA336E">
              <w:rPr>
                <w:color w:val="auto"/>
                <w:lang w:val="uk-UA"/>
              </w:rPr>
              <w:t>закупівел</w:t>
            </w:r>
            <w:proofErr w:type="spellEnd"/>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827D98"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 xml:space="preserve">Закупівля розділена на </w:t>
            </w:r>
            <w:r w:rsidR="00F969E1">
              <w:rPr>
                <w:sz w:val="22"/>
                <w:lang w:val="uk-UA" w:eastAsia="uk-UA"/>
              </w:rPr>
              <w:t>2</w:t>
            </w:r>
            <w:r w:rsidRPr="00AC2042">
              <w:rPr>
                <w:sz w:val="22"/>
                <w:lang w:val="uk-UA" w:eastAsia="uk-UA"/>
              </w:rPr>
              <w:t xml:space="preserve"> лоти</w:t>
            </w:r>
          </w:p>
          <w:p w:rsidR="00047E9F" w:rsidRDefault="00F969E1" w:rsidP="00047E9F">
            <w:pPr>
              <w:rPr>
                <w:b/>
                <w:color w:val="auto"/>
                <w:sz w:val="22"/>
                <w:lang w:val="uk-UA" w:eastAsia="en-US"/>
              </w:rPr>
            </w:pPr>
            <w:r>
              <w:rPr>
                <w:b/>
                <w:color w:val="auto"/>
                <w:sz w:val="22"/>
                <w:lang w:val="uk-UA" w:eastAsia="en-US"/>
              </w:rPr>
              <w:t>Лот 1</w:t>
            </w:r>
            <w:r w:rsidR="00B62187" w:rsidRPr="00AC2042">
              <w:rPr>
                <w:b/>
                <w:color w:val="auto"/>
                <w:sz w:val="22"/>
                <w:lang w:val="uk-UA" w:eastAsia="en-US"/>
              </w:rPr>
              <w:t xml:space="preserve">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sidR="00475901">
              <w:rPr>
                <w:color w:val="auto"/>
                <w:sz w:val="22"/>
                <w:lang w:val="uk-UA" w:eastAsia="en-US"/>
              </w:rPr>
              <w:t>)</w:t>
            </w:r>
          </w:p>
          <w:p w:rsidR="00E879E9" w:rsidRPr="00AC2042" w:rsidRDefault="002F11CE" w:rsidP="00E879E9">
            <w:pPr>
              <w:rPr>
                <w:color w:val="auto"/>
                <w:sz w:val="22"/>
                <w:lang w:val="uk-UA" w:eastAsia="en-US"/>
              </w:rPr>
            </w:pPr>
            <w:r w:rsidRPr="000F46F0">
              <w:rPr>
                <w:color w:val="auto"/>
                <w:sz w:val="22"/>
                <w:szCs w:val="22"/>
                <w:lang w:val="uk-UA" w:eastAsia="en-US"/>
              </w:rPr>
              <w:t xml:space="preserve">- </w:t>
            </w:r>
            <w:r w:rsidR="000F46F0" w:rsidRPr="000F46F0">
              <w:rPr>
                <w:color w:val="auto"/>
                <w:sz w:val="22"/>
                <w:szCs w:val="22"/>
                <w:lang w:val="uk-UA" w:eastAsia="en-US"/>
              </w:rPr>
              <w:t>АБбмп.Др.</w:t>
            </w:r>
            <w:r w:rsidR="000F46F0" w:rsidRPr="000F46F0">
              <w:rPr>
                <w:sz w:val="22"/>
                <w:szCs w:val="22"/>
                <w:lang w:val="uk-UA"/>
              </w:rPr>
              <w:t>Щ.</w:t>
            </w:r>
            <w:r w:rsidR="000F46F0" w:rsidRPr="000F46F0">
              <w:rPr>
                <w:color w:val="auto"/>
                <w:sz w:val="22"/>
                <w:szCs w:val="22"/>
                <w:lang w:val="uk-UA" w:eastAsia="en-US"/>
              </w:rPr>
              <w:t>А.НП.</w:t>
            </w:r>
            <w:r w:rsidR="000F46F0" w:rsidRPr="000F46F0">
              <w:rPr>
                <w:sz w:val="22"/>
                <w:szCs w:val="22"/>
                <w:lang w:val="uk-UA"/>
              </w:rPr>
              <w:t>1.</w:t>
            </w:r>
            <w:r w:rsidR="000F46F0" w:rsidRPr="000F46F0">
              <w:rPr>
                <w:color w:val="auto"/>
                <w:sz w:val="22"/>
                <w:szCs w:val="22"/>
                <w:lang w:val="uk-UA" w:eastAsia="en-US"/>
              </w:rPr>
              <w:t>БМП</w:t>
            </w:r>
            <w:r w:rsidR="000F46F0" w:rsidRPr="00A64333">
              <w:rPr>
                <w:color w:val="auto"/>
                <w:sz w:val="22"/>
                <w:szCs w:val="22"/>
                <w:lang w:val="uk-UA" w:eastAsia="en-US"/>
              </w:rPr>
              <w:t xml:space="preserve"> </w:t>
            </w:r>
            <w:r w:rsidR="00E879E9" w:rsidRPr="00AC2042">
              <w:rPr>
                <w:color w:val="auto"/>
                <w:sz w:val="22"/>
                <w:lang w:val="uk-UA" w:eastAsia="en-US"/>
              </w:rPr>
              <w:t>(А-</w:t>
            </w:r>
            <w:r w:rsidR="00475901">
              <w:rPr>
                <w:color w:val="auto"/>
                <w:sz w:val="22"/>
                <w:lang w:val="uk-UA" w:eastAsia="en-US"/>
              </w:rPr>
              <w:t>20 МКА) (модифікована полімером</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2F11CE" w:rsidRDefault="00F969E1" w:rsidP="002F11CE">
            <w:pPr>
              <w:rPr>
                <w:b/>
                <w:color w:val="auto"/>
                <w:sz w:val="22"/>
                <w:lang w:val="uk-UA" w:eastAsia="en-US"/>
              </w:rPr>
            </w:pPr>
            <w:r>
              <w:rPr>
                <w:b/>
                <w:color w:val="auto"/>
                <w:sz w:val="22"/>
                <w:lang w:val="uk-UA" w:eastAsia="en-US"/>
              </w:rPr>
              <w:t>Лот 2</w:t>
            </w:r>
          </w:p>
          <w:p w:rsidR="00880C49" w:rsidRPr="00AC2042" w:rsidRDefault="00880C49" w:rsidP="00880C49">
            <w:pPr>
              <w:rPr>
                <w:b/>
                <w:color w:val="auto"/>
                <w:sz w:val="22"/>
                <w:lang w:val="uk-UA" w:eastAsia="en-US"/>
              </w:rPr>
            </w:pPr>
            <w:r>
              <w:rPr>
                <w:color w:val="auto"/>
                <w:sz w:val="22"/>
                <w:lang w:val="uk-UA" w:eastAsia="uk-UA"/>
              </w:rPr>
              <w:lastRenderedPageBreak/>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Default="004760FD" w:rsidP="00F0014B">
            <w:pPr>
              <w:rPr>
                <w:color w:val="auto"/>
                <w:sz w:val="22"/>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p w:rsidR="00F969E1" w:rsidRPr="00F0014B" w:rsidRDefault="00F969E1" w:rsidP="00F0014B">
            <w:pPr>
              <w:rPr>
                <w:color w:val="auto"/>
                <w:lang w:val="uk-UA" w:eastAsia="en-US"/>
              </w:rPr>
            </w:pPr>
          </w:p>
        </w:tc>
      </w:tr>
      <w:tr w:rsidR="00E50AB9" w:rsidRPr="00827D98"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0F46F0" w:rsidRPr="00264CBF" w:rsidRDefault="004760FD" w:rsidP="004760FD">
            <w:pPr>
              <w:rPr>
                <w:color w:val="auto"/>
                <w:lang w:val="uk-UA" w:eastAsia="en-US"/>
              </w:rPr>
            </w:pPr>
            <w:r w:rsidRPr="00B62187">
              <w:rPr>
                <w:b/>
                <w:color w:val="auto"/>
                <w:lang w:val="uk-UA" w:eastAsia="en-US"/>
              </w:rPr>
              <w:t xml:space="preserve">Лот </w:t>
            </w:r>
            <w:r w:rsidR="00CF0EA4">
              <w:rPr>
                <w:b/>
                <w:color w:val="auto"/>
                <w:lang w:val="uk-UA" w:eastAsia="en-US"/>
              </w:rPr>
              <w:t>1</w:t>
            </w:r>
            <w:r w:rsidRPr="00B62187">
              <w:rPr>
                <w:b/>
                <w:color w:val="auto"/>
                <w:lang w:val="uk-UA" w:eastAsia="en-US"/>
              </w:rPr>
              <w:t xml:space="preserve"> </w:t>
            </w:r>
            <w:r w:rsidR="00264CBF">
              <w:rPr>
                <w:color w:val="auto"/>
                <w:lang w:val="uk-UA" w:eastAsia="en-US"/>
              </w:rPr>
              <w:t xml:space="preserve">Доставка </w:t>
            </w:r>
            <w:r w:rsidR="00E45BB0" w:rsidRPr="00E45BB0">
              <w:rPr>
                <w:color w:val="auto"/>
                <w:lang w:eastAsia="en-US"/>
              </w:rPr>
              <w:t xml:space="preserve">з </w:t>
            </w:r>
            <w:proofErr w:type="spellStart"/>
            <w:r w:rsidR="00E45BB0" w:rsidRPr="00E45BB0">
              <w:rPr>
                <w:color w:val="auto"/>
                <w:lang w:eastAsia="en-US"/>
              </w:rPr>
              <w:t>бази</w:t>
            </w:r>
            <w:proofErr w:type="spellEnd"/>
            <w:r w:rsidR="00E45BB0" w:rsidRPr="00E45BB0">
              <w:rPr>
                <w:color w:val="auto"/>
                <w:lang w:eastAsia="en-US"/>
              </w:rPr>
              <w:t xml:space="preserve"> </w:t>
            </w:r>
            <w:proofErr w:type="spellStart"/>
            <w:r w:rsidR="00E45BB0" w:rsidRPr="00E45BB0">
              <w:rPr>
                <w:color w:val="auto"/>
                <w:lang w:eastAsia="en-US"/>
              </w:rPr>
              <w:t>навантаження</w:t>
            </w:r>
            <w:proofErr w:type="spellEnd"/>
            <w:r w:rsidR="00E45BB0" w:rsidRPr="00E45BB0">
              <w:rPr>
                <w:color w:val="auto"/>
                <w:lang w:eastAsia="en-US"/>
              </w:rPr>
              <w:t xml:space="preserve"> </w:t>
            </w:r>
            <w:proofErr w:type="spellStart"/>
            <w:r w:rsidR="00E45BB0" w:rsidRPr="00E45BB0">
              <w:rPr>
                <w:color w:val="auto"/>
                <w:lang w:eastAsia="en-US"/>
              </w:rPr>
              <w:t>учасника</w:t>
            </w:r>
            <w:proofErr w:type="spellEnd"/>
            <w:r w:rsidR="00E45BB0" w:rsidRPr="00E45BB0">
              <w:rPr>
                <w:color w:val="auto"/>
                <w:lang w:eastAsia="en-US"/>
              </w:rPr>
              <w:t xml:space="preserve"> </w:t>
            </w:r>
            <w:r w:rsidR="00264CBF">
              <w:rPr>
                <w:color w:val="auto"/>
                <w:lang w:val="uk-UA" w:eastAsia="en-US"/>
              </w:rPr>
              <w:t>на об’</w:t>
            </w:r>
            <w:r w:rsidR="0000393A">
              <w:rPr>
                <w:color w:val="auto"/>
                <w:lang w:val="uk-UA" w:eastAsia="en-US"/>
              </w:rPr>
              <w:t xml:space="preserve">єкти замовника в Деснянський район </w:t>
            </w:r>
            <w:proofErr w:type="spellStart"/>
            <w:r w:rsidR="0000393A">
              <w:rPr>
                <w:color w:val="auto"/>
                <w:lang w:val="uk-UA" w:eastAsia="en-US"/>
              </w:rPr>
              <w:t>м.Києва</w:t>
            </w:r>
            <w:proofErr w:type="spellEnd"/>
          </w:p>
          <w:p w:rsidR="004760FD" w:rsidRPr="002F11CE" w:rsidRDefault="004760FD" w:rsidP="004760FD">
            <w:pPr>
              <w:rPr>
                <w:color w:val="auto"/>
                <w:lang w:val="uk-UA" w:eastAsia="en-US"/>
              </w:rPr>
            </w:pPr>
            <w:r>
              <w:rPr>
                <w:color w:val="auto"/>
                <w:lang w:val="uk-UA" w:eastAsia="en-US"/>
              </w:rPr>
              <w:t xml:space="preserve"> </w:t>
            </w:r>
            <w:r w:rsidR="000F46F0">
              <w:rPr>
                <w:color w:val="auto"/>
                <w:lang w:val="uk-UA" w:eastAsia="en-US"/>
              </w:rPr>
              <w:t xml:space="preserve">- </w:t>
            </w:r>
            <w:r w:rsidR="000F46F0" w:rsidRPr="000F46F0">
              <w:rPr>
                <w:color w:val="auto"/>
                <w:sz w:val="22"/>
                <w:szCs w:val="22"/>
                <w:lang w:val="uk-UA" w:eastAsia="en-US"/>
              </w:rPr>
              <w:t>АБбмп.Др.</w:t>
            </w:r>
            <w:r w:rsidR="000F46F0" w:rsidRPr="000F46F0">
              <w:rPr>
                <w:sz w:val="22"/>
                <w:szCs w:val="22"/>
                <w:lang w:val="uk-UA"/>
              </w:rPr>
              <w:t>Щ.</w:t>
            </w:r>
            <w:r w:rsidR="000F46F0" w:rsidRPr="000F46F0">
              <w:rPr>
                <w:color w:val="auto"/>
                <w:sz w:val="22"/>
                <w:szCs w:val="22"/>
                <w:lang w:val="uk-UA" w:eastAsia="en-US"/>
              </w:rPr>
              <w:t>А.НП.</w:t>
            </w:r>
            <w:r w:rsidR="000F46F0" w:rsidRPr="000F46F0">
              <w:rPr>
                <w:sz w:val="22"/>
                <w:szCs w:val="22"/>
                <w:lang w:val="uk-UA"/>
              </w:rPr>
              <w:t>1.</w:t>
            </w:r>
            <w:r w:rsidR="000F46F0" w:rsidRPr="000F46F0">
              <w:rPr>
                <w:color w:val="auto"/>
                <w:sz w:val="22"/>
                <w:szCs w:val="22"/>
                <w:lang w:val="uk-UA" w:eastAsia="en-US"/>
              </w:rPr>
              <w:t>БМП</w:t>
            </w:r>
            <w:r w:rsidR="000F46F0" w:rsidRPr="00A64333">
              <w:rPr>
                <w:color w:val="auto"/>
                <w:sz w:val="22"/>
                <w:szCs w:val="22"/>
                <w:lang w:val="uk-UA" w:eastAsia="en-US"/>
              </w:rPr>
              <w:t xml:space="preserve"> </w:t>
            </w:r>
            <w:r w:rsidRPr="0059051F">
              <w:rPr>
                <w:color w:val="auto"/>
                <w:lang w:val="uk-UA" w:eastAsia="en-US"/>
              </w:rPr>
              <w:t>(А-</w:t>
            </w:r>
            <w:r w:rsidR="00AE6EDF">
              <w:rPr>
                <w:color w:val="auto"/>
                <w:lang w:val="uk-UA" w:eastAsia="en-US"/>
              </w:rPr>
              <w:t>20 МКА) (модифікована полімером</w:t>
            </w:r>
            <w:r w:rsidRPr="0059051F">
              <w:rPr>
                <w:color w:val="auto"/>
                <w:lang w:val="uk-UA" w:eastAsia="en-US"/>
              </w:rPr>
              <w:t>) </w:t>
            </w:r>
            <w:r w:rsidR="006314C1">
              <w:rPr>
                <w:color w:val="auto"/>
                <w:lang w:val="uk-UA" w:eastAsia="en-US"/>
              </w:rPr>
              <w:t>-</w:t>
            </w:r>
            <w:r w:rsidR="001243DF">
              <w:rPr>
                <w:color w:val="auto"/>
                <w:lang w:val="uk-UA" w:eastAsia="en-US"/>
              </w:rPr>
              <w:t xml:space="preserve"> 400 </w:t>
            </w:r>
            <w:proofErr w:type="spellStart"/>
            <w:r w:rsidR="001243DF">
              <w:rPr>
                <w:color w:val="auto"/>
                <w:lang w:val="uk-UA" w:eastAsia="en-US"/>
              </w:rPr>
              <w:t>тонн</w:t>
            </w:r>
            <w:proofErr w:type="spellEnd"/>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w:t>
            </w:r>
            <w:proofErr w:type="spellStart"/>
            <w:r w:rsidR="001243DF">
              <w:rPr>
                <w:color w:val="auto"/>
                <w:lang w:val="uk-UA" w:eastAsia="en-US"/>
              </w:rPr>
              <w:t>тонн</w:t>
            </w:r>
            <w:proofErr w:type="spellEnd"/>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 xml:space="preserve">300 </w:t>
            </w:r>
            <w:proofErr w:type="spellStart"/>
            <w:r w:rsidR="001243DF">
              <w:rPr>
                <w:lang w:val="uk-UA" w:eastAsia="en-US"/>
              </w:rPr>
              <w:t>тонн</w:t>
            </w:r>
            <w:proofErr w:type="spellEnd"/>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 xml:space="preserve">1500 </w:t>
            </w:r>
            <w:proofErr w:type="spellStart"/>
            <w:r w:rsidR="001243DF">
              <w:rPr>
                <w:color w:val="auto"/>
                <w:lang w:val="uk-UA" w:eastAsia="en-US"/>
              </w:rPr>
              <w:t>тонн</w:t>
            </w:r>
            <w:proofErr w:type="spellEnd"/>
          </w:p>
          <w:p w:rsidR="004760FD" w:rsidRDefault="004760FD" w:rsidP="004760FD">
            <w:pPr>
              <w:rPr>
                <w:lang w:val="uk-UA" w:eastAsia="en-US"/>
              </w:rPr>
            </w:pPr>
            <w:r>
              <w:rPr>
                <w:b/>
                <w:color w:val="auto"/>
                <w:lang w:val="uk-UA" w:eastAsia="en-US"/>
              </w:rPr>
              <w:t xml:space="preserve">Лот </w:t>
            </w:r>
            <w:r w:rsidR="00CF0EA4">
              <w:rPr>
                <w:b/>
                <w:color w:val="auto"/>
                <w:lang w:val="uk-UA" w:eastAsia="en-US"/>
              </w:rPr>
              <w:t>2</w:t>
            </w:r>
            <w:r w:rsidR="00E45BB0">
              <w:rPr>
                <w:b/>
                <w:color w:val="auto"/>
                <w:lang w:val="uk-UA" w:eastAsia="en-US"/>
              </w:rPr>
              <w:t xml:space="preserve"> </w:t>
            </w:r>
            <w:r w:rsidR="0000393A" w:rsidRPr="0000393A">
              <w:rPr>
                <w:color w:val="auto"/>
                <w:lang w:val="uk-UA" w:eastAsia="en-US"/>
              </w:rPr>
              <w:t xml:space="preserve">Доставка </w:t>
            </w:r>
            <w:r w:rsidR="0000393A" w:rsidRPr="0000393A">
              <w:rPr>
                <w:color w:val="auto"/>
                <w:lang w:eastAsia="en-US"/>
              </w:rPr>
              <w:t xml:space="preserve">з </w:t>
            </w:r>
            <w:proofErr w:type="spellStart"/>
            <w:r w:rsidR="0000393A" w:rsidRPr="0000393A">
              <w:rPr>
                <w:color w:val="auto"/>
                <w:lang w:eastAsia="en-US"/>
              </w:rPr>
              <w:t>бази</w:t>
            </w:r>
            <w:proofErr w:type="spellEnd"/>
            <w:r w:rsidR="0000393A" w:rsidRPr="0000393A">
              <w:rPr>
                <w:color w:val="auto"/>
                <w:lang w:eastAsia="en-US"/>
              </w:rPr>
              <w:t xml:space="preserve"> </w:t>
            </w:r>
            <w:proofErr w:type="spellStart"/>
            <w:r w:rsidR="0000393A" w:rsidRPr="0000393A">
              <w:rPr>
                <w:color w:val="auto"/>
                <w:lang w:eastAsia="en-US"/>
              </w:rPr>
              <w:t>навантаження</w:t>
            </w:r>
            <w:proofErr w:type="spellEnd"/>
            <w:r w:rsidR="0000393A" w:rsidRPr="0000393A">
              <w:rPr>
                <w:color w:val="auto"/>
                <w:lang w:eastAsia="en-US"/>
              </w:rPr>
              <w:t xml:space="preserve"> </w:t>
            </w:r>
            <w:proofErr w:type="spellStart"/>
            <w:r w:rsidR="0000393A" w:rsidRPr="0000393A">
              <w:rPr>
                <w:color w:val="auto"/>
                <w:lang w:eastAsia="en-US"/>
              </w:rPr>
              <w:t>учасника</w:t>
            </w:r>
            <w:proofErr w:type="spellEnd"/>
            <w:r w:rsidR="0000393A" w:rsidRPr="0000393A">
              <w:rPr>
                <w:color w:val="auto"/>
                <w:lang w:eastAsia="en-US"/>
              </w:rPr>
              <w:t xml:space="preserve"> </w:t>
            </w:r>
            <w:r w:rsidR="0000393A" w:rsidRPr="0000393A">
              <w:rPr>
                <w:color w:val="auto"/>
                <w:lang w:val="uk-UA" w:eastAsia="en-US"/>
              </w:rPr>
              <w:t>на об’</w:t>
            </w:r>
            <w:r w:rsidR="0000393A">
              <w:rPr>
                <w:color w:val="auto"/>
                <w:lang w:val="uk-UA" w:eastAsia="en-US"/>
              </w:rPr>
              <w:t>єкти з</w:t>
            </w:r>
            <w:r w:rsidR="0000393A" w:rsidRPr="0000393A">
              <w:rPr>
                <w:color w:val="auto"/>
                <w:lang w:val="uk-UA" w:eastAsia="en-US"/>
              </w:rPr>
              <w:t xml:space="preserve">амовника в Деснянський район </w:t>
            </w:r>
            <w:proofErr w:type="spellStart"/>
            <w:r w:rsidR="0000393A" w:rsidRPr="0000393A">
              <w:rPr>
                <w:color w:val="auto"/>
                <w:lang w:val="uk-UA" w:eastAsia="en-US"/>
              </w:rPr>
              <w:t>м.Києва</w:t>
            </w:r>
            <w:proofErr w:type="spellEnd"/>
            <w:r w:rsidR="0000393A" w:rsidRPr="0000393A">
              <w:rPr>
                <w:color w:val="auto"/>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 xml:space="preserve">800 </w:t>
            </w:r>
            <w:proofErr w:type="spellStart"/>
            <w:r w:rsidR="001243DF">
              <w:rPr>
                <w:lang w:val="uk-UA" w:eastAsia="en-US"/>
              </w:rPr>
              <w:t>тонн</w:t>
            </w:r>
            <w:proofErr w:type="spellEnd"/>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w:t>
            </w:r>
            <w:proofErr w:type="spellStart"/>
            <w:r w:rsidR="001243DF">
              <w:rPr>
                <w:color w:val="auto"/>
                <w:lang w:val="uk-UA" w:eastAsia="en-US"/>
              </w:rPr>
              <w:t>тонн</w:t>
            </w:r>
            <w:proofErr w:type="spellEnd"/>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 xml:space="preserve">300 </w:t>
            </w:r>
            <w:proofErr w:type="spellStart"/>
            <w:r w:rsidR="006314C1">
              <w:rPr>
                <w:color w:val="auto"/>
                <w:lang w:val="uk-UA" w:eastAsia="en-US"/>
              </w:rPr>
              <w:t>тонн</w:t>
            </w:r>
            <w:proofErr w:type="spellEnd"/>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 xml:space="preserve">Строк поставки </w:t>
            </w:r>
            <w:proofErr w:type="spellStart"/>
            <w:r w:rsidRPr="00362E73">
              <w:rPr>
                <w:bCs/>
              </w:rPr>
              <w:t>товарів</w:t>
            </w:r>
            <w:proofErr w:type="spellEnd"/>
            <w:r w:rsidRPr="00362E73">
              <w:rPr>
                <w:bCs/>
              </w:rPr>
              <w:t xml:space="preserve"> – з </w:t>
            </w:r>
            <w:proofErr w:type="spellStart"/>
            <w:r w:rsidRPr="00362E73">
              <w:rPr>
                <w:bCs/>
              </w:rPr>
              <w:t>дати</w:t>
            </w:r>
            <w:proofErr w:type="spellEnd"/>
            <w:r w:rsidRPr="00362E73">
              <w:rPr>
                <w:bCs/>
              </w:rPr>
              <w:t xml:space="preserve"> </w:t>
            </w:r>
            <w:proofErr w:type="spellStart"/>
            <w:r w:rsidRPr="00362E73">
              <w:rPr>
                <w:bCs/>
              </w:rPr>
              <w:t>укл</w:t>
            </w:r>
            <w:r>
              <w:rPr>
                <w:bCs/>
              </w:rPr>
              <w:t>адання</w:t>
            </w:r>
            <w:proofErr w:type="spellEnd"/>
            <w:r>
              <w:rPr>
                <w:bCs/>
              </w:rPr>
              <w:t xml:space="preserve">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w:t>
            </w:r>
            <w:proofErr w:type="gramStart"/>
            <w:r w:rsidRPr="00362E73">
              <w:rPr>
                <w:bCs/>
              </w:rPr>
              <w:t>року</w:t>
            </w:r>
            <w:r>
              <w:rPr>
                <w:bCs/>
                <w:lang w:val="uk-UA"/>
              </w:rPr>
              <w:t>.</w:t>
            </w:r>
            <w:r w:rsidR="004220AD">
              <w:rPr>
                <w:bCs/>
                <w:lang w:val="uk-UA"/>
              </w:rPr>
              <w:t xml:space="preserve">  </w:t>
            </w:r>
            <w:proofErr w:type="gramEnd"/>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86A10">
              <w:rPr>
                <w:lang w:val="uk-UA" w:eastAsia="uk-UA"/>
              </w:rPr>
              <w:t>закупівель</w:t>
            </w:r>
            <w:proofErr w:type="spellEnd"/>
            <w:r w:rsidRPr="00186A10">
              <w:rPr>
                <w:lang w:val="uk-UA" w:eastAsia="uk-UA"/>
              </w:rPr>
              <w:t xml:space="preserve">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 xml:space="preserve">часник зазначає ціну пропозиції в електронній системі </w:t>
            </w:r>
            <w:proofErr w:type="spellStart"/>
            <w:r w:rsidRPr="00186A10">
              <w:rPr>
                <w:lang w:val="uk-UA" w:eastAsia="uk-UA"/>
              </w:rPr>
              <w:t>закупівель</w:t>
            </w:r>
            <w:proofErr w:type="spellEnd"/>
            <w:r w:rsidRPr="00186A10">
              <w:rPr>
                <w:lang w:val="uk-UA" w:eastAsia="uk-UA"/>
              </w:rPr>
              <w:t xml:space="preserve"> у валюті – гривня.</w:t>
            </w:r>
          </w:p>
        </w:tc>
      </w:tr>
      <w:tr w:rsidR="00E50AB9" w:rsidRPr="00827D98" w:rsidTr="000D4E10">
        <w:trPr>
          <w:trHeight w:val="155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w:t>
            </w:r>
            <w:proofErr w:type="spellStart"/>
            <w:r w:rsidRPr="00186A10">
              <w:rPr>
                <w:lang w:val="uk-UA" w:eastAsia="uk-UA"/>
              </w:rPr>
              <w:t>закупівель</w:t>
            </w:r>
            <w:proofErr w:type="spellEnd"/>
            <w:r w:rsidRPr="00186A10">
              <w:rPr>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w:t>
            </w:r>
            <w:proofErr w:type="spellStart"/>
            <w:r w:rsidRPr="00186A10">
              <w:rPr>
                <w:lang w:val="uk-UA" w:eastAsia="uk-UA"/>
              </w:rPr>
              <w:t>закупівель</w:t>
            </w:r>
            <w:proofErr w:type="spellEnd"/>
            <w:r w:rsidRPr="00186A10">
              <w:rPr>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w:t>
            </w:r>
            <w:proofErr w:type="spellStart"/>
            <w:r w:rsidRPr="00186A10">
              <w:rPr>
                <w:lang w:val="uk-UA" w:eastAsia="uk-UA"/>
              </w:rPr>
              <w:t>знак</w:t>
            </w:r>
            <w:r w:rsidRPr="00186A10">
              <w:rPr>
                <w:color w:val="auto"/>
                <w:lang w:val="uk-UA" w:eastAsia="uk-UA"/>
              </w:rPr>
              <w:t>а</w:t>
            </w:r>
            <w:proofErr w:type="spellEnd"/>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6A10">
              <w:rPr>
                <w:color w:val="auto"/>
                <w:lang w:val="uk-UA" w:eastAsia="uk-UA"/>
              </w:rPr>
              <w:t>вимозі</w:t>
            </w:r>
            <w:proofErr w:type="spellEnd"/>
            <w:r w:rsidRPr="00186A10">
              <w:rPr>
                <w:color w:val="auto"/>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827D98"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xml:space="preserve">, що вносяться. Зміни до тендерної документації у </w:t>
            </w:r>
            <w:proofErr w:type="spellStart"/>
            <w:r w:rsidRPr="00186A10">
              <w:rPr>
                <w:color w:val="auto"/>
                <w:highlight w:val="white"/>
                <w:lang w:val="uk-UA" w:eastAsia="uk-UA"/>
              </w:rPr>
              <w:t>машинозчитувальному</w:t>
            </w:r>
            <w:proofErr w:type="spellEnd"/>
            <w:r w:rsidRPr="00186A10">
              <w:rPr>
                <w:color w:val="auto"/>
                <w:highlight w:val="white"/>
                <w:lang w:val="uk-UA" w:eastAsia="uk-UA"/>
              </w:rPr>
              <w:t xml:space="preserve"> форматі розміщуються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протягом одного дня з дати прийняття рішення про їх внесення.</w:t>
            </w:r>
          </w:p>
          <w:p w:rsidR="000D4E10" w:rsidRPr="00186A10" w:rsidRDefault="000D4E10" w:rsidP="00E50AB9">
            <w:pPr>
              <w:widowControl w:val="0"/>
              <w:jc w:val="both"/>
              <w:rPr>
                <w:color w:val="auto"/>
                <w:highlight w:val="white"/>
                <w:lang w:val="uk-UA" w:eastAsia="uk-UA"/>
              </w:rPr>
            </w:pP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w:t>
            </w:r>
            <w:proofErr w:type="spellStart"/>
            <w:r w:rsidRPr="00FE6667">
              <w:rPr>
                <w:color w:val="auto"/>
                <w:highlight w:val="white"/>
                <w:lang w:val="uk-UA" w:eastAsia="uk-UA"/>
              </w:rPr>
              <w:t>закупівель</w:t>
            </w:r>
            <w:proofErr w:type="spellEnd"/>
            <w:r w:rsidRPr="00FE6667">
              <w:rPr>
                <w:color w:val="auto"/>
                <w:highlight w:val="white"/>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 xml:space="preserve">чотири дні з дати оприлюднення в електронній системі </w:t>
            </w:r>
            <w:proofErr w:type="spellStart"/>
            <w:r w:rsidRPr="00186A10">
              <w:rPr>
                <w:b/>
                <w:color w:val="auto"/>
                <w:highlight w:val="white"/>
                <w:u w:val="single"/>
                <w:lang w:val="uk-UA" w:eastAsia="uk-UA"/>
              </w:rPr>
              <w:t>закупівель</w:t>
            </w:r>
            <w:proofErr w:type="spellEnd"/>
            <w:r w:rsidRPr="00186A10">
              <w:rPr>
                <w:b/>
                <w:color w:val="auto"/>
                <w:highlight w:val="white"/>
                <w:u w:val="single"/>
                <w:lang w:val="uk-UA" w:eastAsia="uk-UA"/>
              </w:rPr>
              <w:t xml:space="preserve"> повідомлення про намір укласти договір про закупівлю</w:t>
            </w:r>
            <w:r w:rsidRPr="00186A10">
              <w:rPr>
                <w:color w:val="auto"/>
                <w:highlight w:val="white"/>
                <w:lang w:val="uk-UA" w:eastAsia="uk-UA"/>
              </w:rPr>
              <w:t xml:space="preserve">, повинен надати замовнику шляхом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w:t>
            </w:r>
            <w:r w:rsidR="00F02FDE">
              <w:rPr>
                <w:color w:val="auto"/>
                <w:lang w:val="uk-UA" w:eastAsia="uk-UA"/>
              </w:rPr>
              <w:t xml:space="preserve">тання слова або </w:t>
            </w:r>
            <w:proofErr w:type="spellStart"/>
            <w:r w:rsidR="00F02FDE">
              <w:rPr>
                <w:color w:val="auto"/>
                <w:lang w:val="uk-UA" w:eastAsia="uk-UA"/>
              </w:rPr>
              <w:t>мовного</w:t>
            </w:r>
            <w:proofErr w:type="spellEnd"/>
            <w:r w:rsidR="00F02FDE">
              <w:rPr>
                <w:color w:val="auto"/>
                <w:lang w:val="uk-UA" w:eastAsia="uk-UA"/>
              </w:rPr>
              <w:t xml:space="preserve"> </w:t>
            </w:r>
            <w:r w:rsidRPr="00186A10">
              <w:rPr>
                <w:color w:val="auto"/>
                <w:lang w:val="uk-UA" w:eastAsia="uk-UA"/>
              </w:rPr>
              <w:t>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6A10">
              <w:rPr>
                <w:color w:val="auto"/>
                <w:lang w:val="uk-UA" w:eastAsia="uk-UA"/>
              </w:rPr>
              <w:t>закупівель</w:t>
            </w:r>
            <w:proofErr w:type="spellEnd"/>
            <w:r w:rsidRPr="00186A10">
              <w:rPr>
                <w:color w:val="auto"/>
                <w:lang w:val="uk-UA" w:eastAsia="uk-UA"/>
              </w:rPr>
              <w:t xml:space="preserve">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w:t>
            </w:r>
            <w:proofErr w:type="spellStart"/>
            <w:r w:rsidRPr="00186A10">
              <w:rPr>
                <w:color w:val="auto"/>
                <w:lang w:val="uk-UA" w:eastAsia="uk-UA"/>
              </w:rPr>
              <w:t>м.київ</w:t>
            </w:r>
            <w:proofErr w:type="spellEnd"/>
            <w:r w:rsidRPr="00186A10">
              <w:rPr>
                <w:color w:val="auto"/>
                <w:lang w:val="uk-UA" w:eastAsia="uk-UA"/>
              </w:rPr>
              <w:t>» замість «</w:t>
            </w:r>
            <w:proofErr w:type="spellStart"/>
            <w:r w:rsidRPr="00186A10">
              <w:rPr>
                <w:color w:val="auto"/>
                <w:lang w:val="uk-UA" w:eastAsia="uk-UA"/>
              </w:rPr>
              <w:t>м.Київ</w:t>
            </w:r>
            <w:proofErr w:type="spellEnd"/>
            <w:r w:rsidRPr="00186A10">
              <w:rPr>
                <w:color w:val="auto"/>
                <w:lang w:val="uk-UA" w:eastAsia="uk-UA"/>
              </w:rPr>
              <w:t>»;</w:t>
            </w:r>
          </w:p>
          <w:p w:rsidR="00E50AB9" w:rsidRPr="00186A10" w:rsidRDefault="00E50AB9" w:rsidP="00E50AB9">
            <w:pPr>
              <w:widowControl w:val="0"/>
              <w:jc w:val="both"/>
              <w:rPr>
                <w:color w:val="auto"/>
                <w:lang w:val="uk-UA" w:eastAsia="uk-UA"/>
              </w:rPr>
            </w:pPr>
            <w:r w:rsidRPr="00186A10">
              <w:rPr>
                <w:color w:val="auto"/>
                <w:lang w:val="uk-UA" w:eastAsia="uk-UA"/>
              </w:rPr>
              <w:t>— «поряд -</w:t>
            </w:r>
            <w:proofErr w:type="spellStart"/>
            <w:r w:rsidRPr="00186A10">
              <w:rPr>
                <w:color w:val="auto"/>
                <w:lang w:val="uk-UA" w:eastAsia="uk-UA"/>
              </w:rPr>
              <w:t>ок</w:t>
            </w:r>
            <w:proofErr w:type="spellEnd"/>
            <w:r w:rsidRPr="00186A10">
              <w:rPr>
                <w:color w:val="auto"/>
                <w:lang w:val="uk-UA" w:eastAsia="uk-UA"/>
              </w:rPr>
              <w:t>» замість «</w:t>
            </w:r>
            <w:proofErr w:type="spellStart"/>
            <w:r w:rsidRPr="00186A10">
              <w:rPr>
                <w:color w:val="auto"/>
                <w:lang w:val="uk-UA" w:eastAsia="uk-UA"/>
              </w:rPr>
              <w:t>поря</w:t>
            </w:r>
            <w:proofErr w:type="spellEnd"/>
            <w:r w:rsidRPr="00186A10">
              <w:rPr>
                <w:color w:val="auto"/>
                <w:lang w:val="uk-UA" w:eastAsia="uk-UA"/>
              </w:rPr>
              <w:t xml:space="preserve"> – док»;</w:t>
            </w:r>
          </w:p>
          <w:p w:rsidR="00E50AB9" w:rsidRPr="00186A10" w:rsidRDefault="00E50AB9" w:rsidP="00E50AB9">
            <w:pPr>
              <w:widowControl w:val="0"/>
              <w:jc w:val="both"/>
              <w:rPr>
                <w:color w:val="auto"/>
                <w:lang w:val="uk-UA" w:eastAsia="uk-UA"/>
              </w:rPr>
            </w:pPr>
            <w:r w:rsidRPr="00186A10">
              <w:rPr>
                <w:color w:val="auto"/>
                <w:lang w:val="uk-UA" w:eastAsia="uk-UA"/>
              </w:rPr>
              <w:t>— «</w:t>
            </w:r>
            <w:proofErr w:type="spellStart"/>
            <w:r w:rsidRPr="00186A10">
              <w:rPr>
                <w:color w:val="auto"/>
                <w:lang w:val="uk-UA" w:eastAsia="uk-UA"/>
              </w:rPr>
              <w:t>ненадається</w:t>
            </w:r>
            <w:proofErr w:type="spellEnd"/>
            <w:r w:rsidRPr="00186A10">
              <w:rPr>
                <w:color w:val="auto"/>
                <w:lang w:val="uk-UA" w:eastAsia="uk-UA"/>
              </w:rPr>
              <w:t>»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учасник розмістив (завантажив) документ у форматі «JPG» замість  документа у форматі «</w:t>
            </w:r>
            <w:proofErr w:type="spellStart"/>
            <w:r w:rsidRPr="00186A10">
              <w:rPr>
                <w:color w:val="auto"/>
                <w:lang w:val="uk-UA" w:eastAsia="uk-UA"/>
              </w:rPr>
              <w:t>pdf</w:t>
            </w:r>
            <w:proofErr w:type="spellEnd"/>
            <w:r w:rsidRPr="00186A10">
              <w:rPr>
                <w:color w:val="auto"/>
                <w:lang w:val="uk-UA" w:eastAsia="uk-UA"/>
              </w:rPr>
              <w:t>» (</w:t>
            </w:r>
            <w:proofErr w:type="spellStart"/>
            <w:r w:rsidRPr="00186A10">
              <w:rPr>
                <w:color w:val="auto"/>
                <w:lang w:val="uk-UA" w:eastAsia="uk-UA"/>
              </w:rPr>
              <w:t>PortableDocumentFormat</w:t>
            </w:r>
            <w:proofErr w:type="spellEnd"/>
            <w:r w:rsidRPr="00186A10">
              <w:rPr>
                <w:color w:val="auto"/>
                <w:lang w:val="uk-UA" w:eastAsia="uk-UA"/>
              </w:rPr>
              <w:t xml:space="preserve">)».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w:t>
            </w:r>
            <w:proofErr w:type="spellStart"/>
            <w:r w:rsidRPr="0094709B">
              <w:rPr>
                <w:b/>
                <w:sz w:val="23"/>
                <w:szCs w:val="23"/>
                <w:lang w:val="uk-UA" w:eastAsia="uk-UA"/>
              </w:rPr>
              <w:t>закупівель</w:t>
            </w:r>
            <w:proofErr w:type="spellEnd"/>
            <w:r w:rsidRPr="0094709B">
              <w:rPr>
                <w:b/>
                <w:sz w:val="23"/>
                <w:szCs w:val="23"/>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4709B">
              <w:rPr>
                <w:b/>
                <w:sz w:val="23"/>
                <w:szCs w:val="23"/>
                <w:lang w:val="uk-UA" w:eastAsia="uk-UA"/>
              </w:rPr>
              <w:t>скан</w:t>
            </w:r>
            <w:proofErr w:type="spellEnd"/>
            <w:r w:rsidRPr="0094709B">
              <w:rPr>
                <w:b/>
                <w:sz w:val="23"/>
                <w:szCs w:val="23"/>
                <w:lang w:val="uk-UA" w:eastAsia="uk-UA"/>
              </w:rPr>
              <w:t xml:space="preserve">-копій через електронну систему </w:t>
            </w:r>
            <w:proofErr w:type="spellStart"/>
            <w:r w:rsidRPr="0094709B">
              <w:rPr>
                <w:b/>
                <w:sz w:val="23"/>
                <w:szCs w:val="23"/>
                <w:lang w:val="uk-UA" w:eastAsia="uk-UA"/>
              </w:rPr>
              <w:t>закупівель</w:t>
            </w:r>
            <w:proofErr w:type="spellEnd"/>
            <w:r w:rsidRPr="0094709B">
              <w:rPr>
                <w:b/>
                <w:sz w:val="23"/>
                <w:szCs w:val="23"/>
                <w:lang w:val="uk-UA" w:eastAsia="uk-UA"/>
              </w:rPr>
              <w:t xml:space="preserve">.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709B">
              <w:rPr>
                <w:b/>
                <w:sz w:val="23"/>
                <w:szCs w:val="23"/>
                <w:lang w:val="uk-UA" w:eastAsia="uk-UA"/>
              </w:rPr>
              <w:t>закупівель</w:t>
            </w:r>
            <w:proofErr w:type="spellEnd"/>
            <w:r w:rsidRPr="0094709B">
              <w:rPr>
                <w:b/>
                <w:sz w:val="23"/>
                <w:szCs w:val="23"/>
                <w:lang w:val="uk-UA" w:eastAsia="uk-UA"/>
              </w:rPr>
              <w:t xml:space="preserve">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w:t>
            </w:r>
            <w:proofErr w:type="spellStart"/>
            <w:r w:rsidRPr="0094709B">
              <w:rPr>
                <w:b/>
                <w:sz w:val="23"/>
                <w:szCs w:val="23"/>
                <w:lang w:val="uk-UA" w:eastAsia="uk-UA"/>
              </w:rPr>
              <w:t>засвідчувального</w:t>
            </w:r>
            <w:proofErr w:type="spellEnd"/>
            <w:r w:rsidRPr="0094709B">
              <w:rPr>
                <w:b/>
                <w:sz w:val="23"/>
                <w:szCs w:val="23"/>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 xml:space="preserve">Всі документи тендерної пропозиції  подаються в електронному вигляді через електронну систему </w:t>
            </w:r>
            <w:proofErr w:type="spellStart"/>
            <w:r w:rsidRPr="00186A10">
              <w:rPr>
                <w:lang w:val="uk-UA" w:eastAsia="uk-UA"/>
              </w:rPr>
              <w:t>закупівель</w:t>
            </w:r>
            <w:proofErr w:type="spellEnd"/>
            <w:r w:rsidRPr="00186A10">
              <w:rPr>
                <w:lang w:val="uk-UA" w:eastAsia="uk-UA"/>
              </w:rPr>
              <w:t xml:space="preserve"> (шляхом завантаження сканованих документів або електронних документів в електронну систему </w:t>
            </w:r>
            <w:proofErr w:type="spellStart"/>
            <w:r w:rsidRPr="00186A10">
              <w:rPr>
                <w:lang w:val="uk-UA" w:eastAsia="uk-UA"/>
              </w:rPr>
              <w:t>закупівель</w:t>
            </w:r>
            <w:proofErr w:type="spellEnd"/>
            <w:r w:rsidRPr="00186A10">
              <w:rPr>
                <w:lang w:val="uk-UA" w:eastAsia="uk-UA"/>
              </w:rPr>
              <w:t>).</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827D98"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6A10">
              <w:rPr>
                <w:color w:val="auto"/>
                <w:lang w:val="uk-UA" w:eastAsia="uk-UA"/>
              </w:rPr>
              <w:t>закупівель</w:t>
            </w:r>
            <w:proofErr w:type="spellEnd"/>
            <w:r w:rsidRPr="00186A10">
              <w:rPr>
                <w:color w:val="auto"/>
                <w:lang w:val="uk-UA" w:eastAsia="uk-UA"/>
              </w:rPr>
              <w:t>.</w:t>
            </w:r>
          </w:p>
        </w:tc>
      </w:tr>
      <w:tr w:rsidR="00E50AB9" w:rsidRPr="00827D98" w:rsidTr="00CF0EA4">
        <w:trPr>
          <w:trHeight w:val="325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 xml:space="preserve">2) відомості про юридичну особу, яка є учасником процедури закупівлі, </w:t>
            </w:r>
            <w:proofErr w:type="spellStart"/>
            <w:r w:rsidRPr="00186A10">
              <w:rPr>
                <w:color w:val="auto"/>
                <w:lang w:val="uk-UA" w:eastAsia="uk-UA"/>
              </w:rPr>
              <w:t>внесено</w:t>
            </w:r>
            <w:proofErr w:type="spellEnd"/>
            <w:r w:rsidRPr="00186A10">
              <w:rPr>
                <w:color w:val="auto"/>
                <w:lang w:val="uk-UA" w:eastAsia="uk-UA"/>
              </w:rPr>
              <w:t xml:space="preserve">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86A10">
              <w:rPr>
                <w:color w:val="auto"/>
                <w:lang w:val="uk-UA" w:eastAsia="uk-UA"/>
              </w:rPr>
              <w:t>антиконкурентних</w:t>
            </w:r>
            <w:proofErr w:type="spellEnd"/>
            <w:r w:rsidRPr="00186A10">
              <w:rPr>
                <w:color w:val="auto"/>
                <w:lang w:val="uk-UA" w:eastAsia="uk-UA"/>
              </w:rPr>
              <w:t xml:space="preserve">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w:t>
            </w:r>
            <w:proofErr w:type="spellStart"/>
            <w:r w:rsidRPr="00186A10">
              <w:rPr>
                <w:color w:val="auto"/>
                <w:lang w:val="uk-UA" w:eastAsia="uk-UA"/>
              </w:rPr>
              <w:t>бенефіціарний</w:t>
            </w:r>
            <w:proofErr w:type="spellEnd"/>
            <w:r w:rsidRPr="00186A10">
              <w:rPr>
                <w:color w:val="auto"/>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827D98"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6A10">
              <w:rPr>
                <w:color w:val="auto"/>
                <w:lang w:val="uk-UA" w:eastAsia="uk-UA"/>
              </w:rPr>
              <w:t>закупівель</w:t>
            </w:r>
            <w:proofErr w:type="spellEnd"/>
            <w:r w:rsidRPr="00186A10">
              <w:rPr>
                <w:color w:val="auto"/>
                <w:lang w:val="uk-UA" w:eastAsia="uk-UA"/>
              </w:rPr>
              <w:t xml:space="preserve">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524D">
              <w:rPr>
                <w:b/>
                <w:color w:val="auto"/>
                <w:lang w:val="uk-UA" w:eastAsia="uk-UA"/>
              </w:rPr>
              <w:t>2</w:t>
            </w:r>
            <w:r w:rsidR="00827D98">
              <w:rPr>
                <w:b/>
                <w:color w:val="auto"/>
                <w:lang w:val="uk-UA" w:eastAsia="uk-UA"/>
              </w:rPr>
              <w:t>8</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w:t>
            </w:r>
            <w:bookmarkStart w:id="6" w:name="_GoBack"/>
            <w:bookmarkEnd w:id="6"/>
            <w:r w:rsidRPr="00BE4124">
              <w:rPr>
                <w:i/>
                <w:color w:val="auto"/>
                <w:highlight w:val="white"/>
                <w:lang w:val="uk-UA" w:eastAsia="uk-UA"/>
              </w:rPr>
              <w:t xml:space="preserve">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E4124">
              <w:rPr>
                <w:i/>
                <w:color w:val="auto"/>
                <w:highlight w:val="white"/>
                <w:lang w:val="uk-UA" w:eastAsia="uk-UA"/>
              </w:rPr>
              <w:t>закупівель</w:t>
            </w:r>
            <w:proofErr w:type="spellEnd"/>
            <w:r w:rsidRPr="00BE4124">
              <w:rPr>
                <w:i/>
                <w:color w:val="auto"/>
                <w:highlight w:val="white"/>
                <w:lang w:val="uk-UA" w:eastAsia="uk-UA"/>
              </w:rPr>
              <w:t>.)</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w:t>
            </w:r>
            <w:proofErr w:type="spellStart"/>
            <w:r w:rsidRPr="00186A10">
              <w:rPr>
                <w:color w:val="auto"/>
                <w:lang w:val="uk-UA" w:eastAsia="uk-UA"/>
              </w:rPr>
              <w:t>закупівель</w:t>
            </w:r>
            <w:proofErr w:type="spellEnd"/>
            <w:r w:rsidRPr="00186A10">
              <w:rPr>
                <w:color w:val="auto"/>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 xml:space="preserve">лектронною системою </w:t>
            </w:r>
            <w:proofErr w:type="spellStart"/>
            <w:r>
              <w:rPr>
                <w:color w:val="auto"/>
                <w:lang w:val="uk-UA" w:eastAsia="uk-UA"/>
              </w:rPr>
              <w:t>закупівель</w:t>
            </w:r>
            <w:proofErr w:type="spellEnd"/>
            <w:r>
              <w:rPr>
                <w:color w:val="auto"/>
                <w:lang w:val="uk-UA" w:eastAsia="uk-UA"/>
              </w:rPr>
              <w:t>.</w:t>
            </w:r>
          </w:p>
        </w:tc>
      </w:tr>
      <w:tr w:rsidR="00E50AB9" w:rsidRPr="00827D9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 xml:space="preserve">Оцінка тендерних пропозицій проводиться автоматично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w:t>
            </w:r>
            <w:proofErr w:type="spellStart"/>
            <w:r w:rsidRPr="00CB6632">
              <w:rPr>
                <w:color w:val="auto"/>
                <w:lang w:val="uk-UA" w:eastAsia="uk-UA"/>
              </w:rPr>
              <w:t>закупівель</w:t>
            </w:r>
            <w:proofErr w:type="spellEnd"/>
            <w:r w:rsidRPr="00CB6632">
              <w:rPr>
                <w:color w:val="auto"/>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4124">
              <w:rPr>
                <w:color w:val="auto"/>
                <w:highlight w:val="white"/>
                <w:lang w:val="uk-UA" w:eastAsia="uk-UA"/>
              </w:rPr>
              <w:t>невідповідностей</w:t>
            </w:r>
            <w:proofErr w:type="spellEnd"/>
            <w:r w:rsidRPr="00BE4124">
              <w:rPr>
                <w:color w:val="auto"/>
                <w:highlight w:val="white"/>
                <w:lang w:val="uk-UA" w:eastAsia="uk-UA"/>
              </w:rPr>
              <w:t xml:space="preserve">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4124">
              <w:rPr>
                <w:color w:val="auto"/>
                <w:highlight w:val="white"/>
                <w:lang w:val="uk-UA" w:eastAsia="uk-UA"/>
              </w:rPr>
              <w:t>невідповідностей</w:t>
            </w:r>
            <w:proofErr w:type="spellEnd"/>
            <w:r w:rsidRPr="00BE4124">
              <w:rPr>
                <w:color w:val="auto"/>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6A10">
              <w:rPr>
                <w:color w:val="auto"/>
                <w:lang w:val="uk-UA" w:eastAsia="uk-UA"/>
              </w:rPr>
              <w:t>закупівель</w:t>
            </w:r>
            <w:proofErr w:type="spellEnd"/>
            <w:r w:rsidRPr="00186A10">
              <w:rPr>
                <w:color w:val="auto"/>
                <w:lang w:val="uk-UA" w:eastAsia="uk-UA"/>
              </w:rPr>
              <w:t xml:space="preserve"> уточнених або нових документів в електронній системі </w:t>
            </w:r>
            <w:proofErr w:type="spellStart"/>
            <w:r w:rsidRPr="00186A10">
              <w:rPr>
                <w:color w:val="auto"/>
                <w:lang w:val="uk-UA" w:eastAsia="uk-UA"/>
              </w:rPr>
              <w:t>закупівель</w:t>
            </w:r>
            <w:proofErr w:type="spellEnd"/>
            <w:r w:rsidRPr="00186A10">
              <w:rPr>
                <w:color w:val="auto"/>
                <w:lang w:val="uk-UA" w:eastAsia="uk-UA"/>
              </w:rPr>
              <w:t xml:space="preserve">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w:t>
            </w:r>
            <w:proofErr w:type="spellStart"/>
            <w:r w:rsidRPr="00186A10">
              <w:rPr>
                <w:color w:val="auto"/>
                <w:lang w:val="uk-UA" w:eastAsia="uk-UA"/>
              </w:rPr>
              <w:t>закупівель</w:t>
            </w:r>
            <w:proofErr w:type="spellEnd"/>
            <w:r w:rsidRPr="00186A10">
              <w:rPr>
                <w:color w:val="auto"/>
                <w:lang w:val="uk-UA" w:eastAsia="uk-UA"/>
              </w:rPr>
              <w:t xml:space="preserve"> повідомлення з вимогою про усунення таких </w:t>
            </w:r>
            <w:proofErr w:type="spellStart"/>
            <w:r w:rsidRPr="00186A10">
              <w:rPr>
                <w:color w:val="auto"/>
                <w:lang w:val="uk-UA" w:eastAsia="uk-UA"/>
              </w:rPr>
              <w:t>невідповідностей</w:t>
            </w:r>
            <w:proofErr w:type="spellEnd"/>
            <w:r w:rsidRPr="00186A10">
              <w:rPr>
                <w:color w:val="auto"/>
                <w:lang w:val="uk-UA" w:eastAsia="uk-UA"/>
              </w:rPr>
              <w:t xml:space="preserve">. Замовник розглядає подані тендерні пропозиції з урахуванням виправлення або </w:t>
            </w:r>
            <w:proofErr w:type="spellStart"/>
            <w:r w:rsidRPr="00186A10">
              <w:rPr>
                <w:color w:val="auto"/>
                <w:lang w:val="uk-UA" w:eastAsia="uk-UA"/>
              </w:rPr>
              <w:t>невиправлення</w:t>
            </w:r>
            <w:proofErr w:type="spellEnd"/>
            <w:r w:rsidRPr="00186A10">
              <w:rPr>
                <w:color w:val="auto"/>
                <w:lang w:val="uk-UA" w:eastAsia="uk-UA"/>
              </w:rPr>
              <w:t xml:space="preserve"> учасниками вияв</w:t>
            </w:r>
            <w:r w:rsidRPr="00186A10">
              <w:rPr>
                <w:color w:val="auto"/>
                <w:highlight w:val="white"/>
                <w:lang w:val="uk-UA" w:eastAsia="uk-UA"/>
              </w:rPr>
              <w:t xml:space="preserve">лених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827D9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6A10">
              <w:rPr>
                <w:lang w:val="uk-UA" w:eastAsia="uk-UA"/>
              </w:rPr>
              <w:t>означатиме</w:t>
            </w:r>
            <w:proofErr w:type="spellEnd"/>
            <w:r w:rsidRPr="00186A10">
              <w:rPr>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6A10">
              <w:rPr>
                <w:color w:val="auto"/>
                <w:lang w:val="uk-UA" w:eastAsia="uk-UA"/>
              </w:rPr>
              <w:t>ненакладення</w:t>
            </w:r>
            <w:proofErr w:type="spellEnd"/>
            <w:r w:rsidRPr="00186A10">
              <w:rPr>
                <w:color w:val="auto"/>
                <w:lang w:val="uk-UA" w:eastAsia="uk-UA"/>
              </w:rPr>
              <w:t xml:space="preserve"> електронного підпису; або надає копію/ї роз'яснення/</w:t>
            </w:r>
            <w:proofErr w:type="spellStart"/>
            <w:r w:rsidRPr="00186A10">
              <w:rPr>
                <w:color w:val="auto"/>
                <w:lang w:val="uk-UA" w:eastAsia="uk-UA"/>
              </w:rPr>
              <w:t>нь</w:t>
            </w:r>
            <w:proofErr w:type="spellEnd"/>
            <w:r w:rsidRPr="00186A10">
              <w:rPr>
                <w:color w:val="auto"/>
                <w:lang w:val="uk-UA" w:eastAsia="uk-UA"/>
              </w:rPr>
              <w:t xml:space="preserve">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 xml:space="preserve">8. Учасник, який подав тендерну пропозицію, вважається таким, що згодний з </w:t>
            </w:r>
            <w:proofErr w:type="spellStart"/>
            <w:r w:rsidRPr="00186A10">
              <w:rPr>
                <w:lang w:val="uk-UA" w:eastAsia="uk-UA"/>
              </w:rPr>
              <w:t>про</w:t>
            </w:r>
            <w:r w:rsidRPr="00186A10">
              <w:rPr>
                <w:color w:val="auto"/>
                <w:lang w:val="uk-UA" w:eastAsia="uk-UA"/>
              </w:rPr>
              <w:t>є</w:t>
            </w:r>
            <w:r w:rsidRPr="00186A10">
              <w:rPr>
                <w:lang w:val="uk-UA" w:eastAsia="uk-UA"/>
              </w:rPr>
              <w:t>ктом</w:t>
            </w:r>
            <w:proofErr w:type="spellEnd"/>
            <w:r w:rsidRPr="00186A10">
              <w:rPr>
                <w:lang w:val="uk-UA" w:eastAsia="uk-UA"/>
              </w:rPr>
              <w:t xml:space="preserve">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xml:space="preserve">, що у попередніх відносинах між  Учасником та Замовником таку </w:t>
            </w:r>
            <w:proofErr w:type="spellStart"/>
            <w:r w:rsidRPr="00186A10">
              <w:rPr>
                <w:lang w:val="uk-UA" w:eastAsia="uk-UA"/>
              </w:rPr>
              <w:t>оперативно</w:t>
            </w:r>
            <w:proofErr w:type="spellEnd"/>
            <w:r w:rsidRPr="00186A10">
              <w:rPr>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юридичних осіб, утворених та зареєстрованих відповідно до законодавства України, кінцевим </w:t>
            </w:r>
            <w:proofErr w:type="spellStart"/>
            <w:r w:rsidRPr="00BE4124">
              <w:rPr>
                <w:color w:val="auto"/>
                <w:highlight w:val="white"/>
                <w:lang w:val="uk-UA" w:eastAsia="uk-UA"/>
              </w:rPr>
              <w:t>бенефіціарним</w:t>
            </w:r>
            <w:proofErr w:type="spellEnd"/>
            <w:r w:rsidRPr="00BE4124">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827D9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 xml:space="preserve">, протягом 24 годин з моменту розміщення замовником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з вимогою про усунення таких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24">
              <w:rPr>
                <w:color w:val="auto"/>
                <w:highlight w:val="white"/>
                <w:lang w:val="uk-UA" w:eastAsia="uk-UA"/>
              </w:rPr>
              <w:t>бенефіціарним</w:t>
            </w:r>
            <w:proofErr w:type="spellEnd"/>
            <w:r w:rsidRPr="00BE4124">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C76"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w:t>
            </w:r>
            <w:r w:rsidR="00626C76">
              <w:rPr>
                <w:color w:val="auto"/>
                <w:highlight w:val="white"/>
                <w:lang w:val="uk-UA" w:eastAsia="uk-UA"/>
              </w:rPr>
              <w:t>значених у підпунктах 3, 5, 6;</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але до моменту оприлюднення договору про закупівлю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 xml:space="preserve">Відкриті торги автоматично відміняються електронною системою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подання скарги до органу оскарження після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 xml:space="preserve">з дати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proofErr w:type="spellStart"/>
            <w:r w:rsidRPr="00186A10">
              <w:rPr>
                <w:b/>
                <w:lang w:val="uk-UA" w:eastAsia="uk-UA"/>
              </w:rPr>
              <w:t>Проєкт</w:t>
            </w:r>
            <w:proofErr w:type="spellEnd"/>
            <w:r w:rsidRPr="00186A10">
              <w:rPr>
                <w:b/>
                <w:lang w:val="uk-UA" w:eastAsia="uk-UA"/>
              </w:rPr>
              <w:t xml:space="preserve">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proofErr w:type="spellStart"/>
            <w:r w:rsidRPr="00186A10">
              <w:rPr>
                <w:lang w:val="uk-UA" w:eastAsia="uk-UA"/>
              </w:rPr>
              <w:t>Проєкт</w:t>
            </w:r>
            <w:proofErr w:type="spellEnd"/>
            <w:r w:rsidRPr="00186A10">
              <w:rPr>
                <w:lang w:val="uk-UA" w:eastAsia="uk-UA"/>
              </w:rPr>
              <w:t xml:space="preserve">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w:t>
            </w:r>
            <w:proofErr w:type="spellStart"/>
            <w:r w:rsidRPr="00F51F71">
              <w:rPr>
                <w:bCs/>
                <w:color w:val="auto"/>
                <w:lang w:eastAsia="uk-UA"/>
              </w:rPr>
              <w:t>статті</w:t>
            </w:r>
            <w:proofErr w:type="spellEnd"/>
            <w:r w:rsidRPr="00F51F71">
              <w:rPr>
                <w:bCs/>
                <w:color w:val="auto"/>
                <w:lang w:eastAsia="uk-UA"/>
              </w:rPr>
              <w:t xml:space="preserve"> 27 </w:t>
            </w:r>
            <w:proofErr w:type="gramStart"/>
            <w:r w:rsidRPr="00F51F71">
              <w:rPr>
                <w:bCs/>
                <w:color w:val="auto"/>
                <w:lang w:eastAsia="uk-UA"/>
              </w:rPr>
              <w:t xml:space="preserve">Закону, </w:t>
            </w:r>
            <w:r w:rsidRPr="00F51F71">
              <w:rPr>
                <w:color w:val="auto"/>
                <w:lang w:eastAsia="uk-UA"/>
              </w:rPr>
              <w:t xml:space="preserve"> </w:t>
            </w:r>
            <w:proofErr w:type="spellStart"/>
            <w:r w:rsidRPr="00F51F71">
              <w:rPr>
                <w:color w:val="auto"/>
                <w:lang w:eastAsia="uk-UA"/>
              </w:rPr>
              <w:t>Замовник</w:t>
            </w:r>
            <w:proofErr w:type="spellEnd"/>
            <w:proofErr w:type="gramEnd"/>
            <w:r w:rsidRPr="00F51F71">
              <w:rPr>
                <w:color w:val="auto"/>
                <w:lang w:eastAsia="uk-UA"/>
              </w:rPr>
              <w:t xml:space="preserve"> </w:t>
            </w:r>
            <w:proofErr w:type="spellStart"/>
            <w:r w:rsidRPr="00F51F71">
              <w:rPr>
                <w:color w:val="auto"/>
                <w:lang w:eastAsia="uk-UA"/>
              </w:rPr>
              <w:t>має</w:t>
            </w:r>
            <w:proofErr w:type="spellEnd"/>
            <w:r w:rsidRPr="00F51F71">
              <w:rPr>
                <w:color w:val="auto"/>
                <w:lang w:eastAsia="uk-UA"/>
              </w:rPr>
              <w:t xml:space="preserve"> право </w:t>
            </w:r>
            <w:proofErr w:type="spellStart"/>
            <w:r w:rsidRPr="00F51F71">
              <w:rPr>
                <w:color w:val="auto"/>
                <w:lang w:eastAsia="uk-UA"/>
              </w:rPr>
              <w:t>вимагати</w:t>
            </w:r>
            <w:proofErr w:type="spellEnd"/>
            <w:r w:rsidRPr="00F51F71">
              <w:rPr>
                <w:color w:val="auto"/>
                <w:lang w:eastAsia="uk-UA"/>
              </w:rPr>
              <w:t xml:space="preserve"> </w:t>
            </w:r>
            <w:proofErr w:type="spellStart"/>
            <w:r w:rsidRPr="00F51F71">
              <w:rPr>
                <w:color w:val="auto"/>
                <w:lang w:eastAsia="uk-UA"/>
              </w:rPr>
              <w:t>від</w:t>
            </w:r>
            <w:proofErr w:type="spellEnd"/>
            <w:r w:rsidRPr="00F51F71">
              <w:rPr>
                <w:color w:val="auto"/>
                <w:lang w:eastAsia="uk-UA"/>
              </w:rPr>
              <w:t xml:space="preserve"> </w:t>
            </w:r>
            <w:proofErr w:type="spellStart"/>
            <w:r w:rsidRPr="00F51F71">
              <w:rPr>
                <w:color w:val="auto"/>
                <w:lang w:eastAsia="uk-UA"/>
              </w:rPr>
              <w:t>переможця</w:t>
            </w:r>
            <w:proofErr w:type="spellEnd"/>
            <w:r w:rsidRPr="00F51F71">
              <w:rPr>
                <w:color w:val="auto"/>
                <w:lang w:eastAsia="uk-UA"/>
              </w:rPr>
              <w:t xml:space="preserve"> </w:t>
            </w:r>
            <w:proofErr w:type="spellStart"/>
            <w:r w:rsidRPr="00F51F71">
              <w:rPr>
                <w:color w:val="auto"/>
                <w:lang w:eastAsia="uk-UA"/>
              </w:rPr>
              <w:t>процедури</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w:t>
            </w:r>
            <w:proofErr w:type="spellStart"/>
            <w:r w:rsidRPr="00F51F71">
              <w:rPr>
                <w:color w:val="auto"/>
                <w:lang w:eastAsia="uk-UA"/>
              </w:rPr>
              <w:t>спрощеної</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 xml:space="preserve"> </w:t>
            </w:r>
            <w:proofErr w:type="spellStart"/>
            <w:r w:rsidRPr="00F51F71">
              <w:rPr>
                <w:color w:val="auto"/>
                <w:lang w:eastAsia="uk-UA"/>
              </w:rPr>
              <w:t>внесення</w:t>
            </w:r>
            <w:proofErr w:type="spellEnd"/>
            <w:r w:rsidRPr="00F51F71">
              <w:rPr>
                <w:color w:val="auto"/>
                <w:lang w:eastAsia="uk-UA"/>
              </w:rPr>
              <w:t xml:space="preserve"> ним не </w:t>
            </w:r>
            <w:proofErr w:type="spellStart"/>
            <w:r w:rsidRPr="00F51F71">
              <w:rPr>
                <w:color w:val="auto"/>
                <w:lang w:eastAsia="uk-UA"/>
              </w:rPr>
              <w:t>пізніше</w:t>
            </w:r>
            <w:proofErr w:type="spellEnd"/>
            <w:r w:rsidRPr="00F51F71">
              <w:rPr>
                <w:color w:val="auto"/>
                <w:lang w:eastAsia="uk-UA"/>
              </w:rPr>
              <w:t xml:space="preserve"> </w:t>
            </w:r>
            <w:proofErr w:type="spellStart"/>
            <w:r w:rsidRPr="00F51F71">
              <w:rPr>
                <w:color w:val="auto"/>
                <w:lang w:eastAsia="uk-UA"/>
              </w:rPr>
              <w:t>дати</w:t>
            </w:r>
            <w:proofErr w:type="spellEnd"/>
            <w:r w:rsidRPr="00F51F71">
              <w:rPr>
                <w:color w:val="auto"/>
                <w:lang w:eastAsia="uk-UA"/>
              </w:rPr>
              <w:t xml:space="preserve"> </w:t>
            </w:r>
            <w:proofErr w:type="spellStart"/>
            <w:r w:rsidRPr="00F51F71">
              <w:rPr>
                <w:color w:val="auto"/>
                <w:lang w:eastAsia="uk-UA"/>
              </w:rPr>
              <w:t>укладення</w:t>
            </w:r>
            <w:proofErr w:type="spellEnd"/>
            <w:r w:rsidRPr="00F51F71">
              <w:rPr>
                <w:color w:val="auto"/>
                <w:lang w:eastAsia="uk-UA"/>
              </w:rPr>
              <w:t xml:space="preserve"> договору про </w:t>
            </w:r>
            <w:proofErr w:type="spellStart"/>
            <w:r w:rsidRPr="00F51F71">
              <w:rPr>
                <w:color w:val="auto"/>
                <w:lang w:eastAsia="uk-UA"/>
              </w:rPr>
              <w:t>закупівлю</w:t>
            </w:r>
            <w:proofErr w:type="spellEnd"/>
            <w:r w:rsidRPr="00F51F71">
              <w:rPr>
                <w:color w:val="auto"/>
                <w:lang w:eastAsia="uk-UA"/>
              </w:rPr>
              <w:t xml:space="preserve"> </w:t>
            </w:r>
            <w:proofErr w:type="spellStart"/>
            <w:r w:rsidRPr="00F51F71">
              <w:rPr>
                <w:color w:val="auto"/>
                <w:lang w:eastAsia="uk-UA"/>
              </w:rPr>
              <w:t>забезпечення</w:t>
            </w:r>
            <w:proofErr w:type="spellEnd"/>
            <w:r w:rsidRPr="00F51F71">
              <w:rPr>
                <w:color w:val="auto"/>
                <w:lang w:eastAsia="uk-UA"/>
              </w:rPr>
              <w:t xml:space="preserve"> </w:t>
            </w:r>
            <w:proofErr w:type="spellStart"/>
            <w:r w:rsidRPr="00F51F71">
              <w:rPr>
                <w:color w:val="auto"/>
                <w:lang w:eastAsia="uk-UA"/>
              </w:rPr>
              <w:t>виконання</w:t>
            </w:r>
            <w:proofErr w:type="spellEnd"/>
            <w:r w:rsidRPr="00F51F71">
              <w:rPr>
                <w:color w:val="auto"/>
                <w:lang w:eastAsia="uk-UA"/>
              </w:rPr>
              <w:t xml:space="preserve"> такого договору, </w:t>
            </w:r>
            <w:proofErr w:type="spellStart"/>
            <w:r w:rsidRPr="00F51F71">
              <w:rPr>
                <w:color w:val="auto"/>
                <w:lang w:eastAsia="uk-UA"/>
              </w:rPr>
              <w:t>якщо</w:t>
            </w:r>
            <w:proofErr w:type="spellEnd"/>
            <w:r w:rsidRPr="00F51F71">
              <w:rPr>
                <w:color w:val="auto"/>
                <w:lang w:eastAsia="uk-UA"/>
              </w:rPr>
              <w:t xml:space="preserve"> </w:t>
            </w:r>
            <w:proofErr w:type="spellStart"/>
            <w:r w:rsidRPr="00F51F71">
              <w:rPr>
                <w:color w:val="auto"/>
                <w:lang w:eastAsia="uk-UA"/>
              </w:rPr>
              <w:t>внесення</w:t>
            </w:r>
            <w:proofErr w:type="spellEnd"/>
            <w:r w:rsidRPr="00F51F71">
              <w:rPr>
                <w:color w:val="auto"/>
                <w:lang w:eastAsia="uk-UA"/>
              </w:rPr>
              <w:t xml:space="preserve"> такого </w:t>
            </w:r>
            <w:proofErr w:type="spellStart"/>
            <w:r w:rsidRPr="00F51F71">
              <w:rPr>
                <w:color w:val="auto"/>
                <w:lang w:eastAsia="uk-UA"/>
              </w:rPr>
              <w:t>забезпечення</w:t>
            </w:r>
            <w:proofErr w:type="spellEnd"/>
            <w:r w:rsidRPr="00F51F71">
              <w:rPr>
                <w:color w:val="auto"/>
                <w:lang w:eastAsia="uk-UA"/>
              </w:rPr>
              <w:t xml:space="preserve"> </w:t>
            </w:r>
            <w:proofErr w:type="spellStart"/>
            <w:r w:rsidRPr="00F51F71">
              <w:rPr>
                <w:color w:val="auto"/>
                <w:lang w:eastAsia="uk-UA"/>
              </w:rPr>
              <w:t>передбачено</w:t>
            </w:r>
            <w:proofErr w:type="spellEnd"/>
            <w:r w:rsidRPr="00F51F71">
              <w:rPr>
                <w:color w:val="auto"/>
                <w:lang w:eastAsia="uk-UA"/>
              </w:rPr>
              <w:t xml:space="preserve"> тендерною </w:t>
            </w:r>
            <w:proofErr w:type="spellStart"/>
            <w:r w:rsidRPr="00F51F71">
              <w:rPr>
                <w:color w:val="auto"/>
                <w:lang w:eastAsia="uk-UA"/>
              </w:rPr>
              <w:t>документацією</w:t>
            </w:r>
            <w:proofErr w:type="spellEnd"/>
            <w:r w:rsidRPr="00F51F71">
              <w:rPr>
                <w:color w:val="auto"/>
                <w:lang w:eastAsia="uk-UA"/>
              </w:rPr>
              <w:t xml:space="preserve"> </w:t>
            </w:r>
            <w:proofErr w:type="spellStart"/>
            <w:r w:rsidRPr="00F51F71">
              <w:rPr>
                <w:color w:val="auto"/>
                <w:lang w:eastAsia="uk-UA"/>
              </w:rPr>
              <w:t>або</w:t>
            </w:r>
            <w:proofErr w:type="spellEnd"/>
            <w:r w:rsidRPr="00F51F71">
              <w:rPr>
                <w:color w:val="auto"/>
                <w:lang w:eastAsia="uk-UA"/>
              </w:rPr>
              <w:t xml:space="preserve"> в </w:t>
            </w:r>
            <w:proofErr w:type="spellStart"/>
            <w:r w:rsidRPr="00F51F71">
              <w:rPr>
                <w:color w:val="auto"/>
                <w:lang w:eastAsia="uk-UA"/>
              </w:rPr>
              <w:t>оголошенні</w:t>
            </w:r>
            <w:proofErr w:type="spellEnd"/>
            <w:r w:rsidRPr="00F51F71">
              <w:rPr>
                <w:color w:val="auto"/>
                <w:lang w:eastAsia="uk-UA"/>
              </w:rPr>
              <w:t xml:space="preserve"> про </w:t>
            </w:r>
            <w:proofErr w:type="spellStart"/>
            <w:r w:rsidRPr="00F51F71">
              <w:rPr>
                <w:color w:val="auto"/>
                <w:lang w:eastAsia="uk-UA"/>
              </w:rPr>
              <w:t>проведення</w:t>
            </w:r>
            <w:proofErr w:type="spellEnd"/>
            <w:r w:rsidRPr="00F51F71">
              <w:rPr>
                <w:color w:val="auto"/>
                <w:lang w:eastAsia="uk-UA"/>
              </w:rPr>
              <w:t xml:space="preserve"> </w:t>
            </w:r>
            <w:proofErr w:type="spellStart"/>
            <w:r w:rsidRPr="00F51F71">
              <w:rPr>
                <w:color w:val="auto"/>
                <w:lang w:eastAsia="uk-UA"/>
              </w:rPr>
              <w:t>спрощеної</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w:t>
            </w:r>
            <w:r w:rsidR="00E863A9">
              <w:rPr>
                <w:color w:val="auto"/>
                <w:lang w:val="uk-UA" w:eastAsia="uk-UA"/>
              </w:rPr>
              <w:t>5</w:t>
            </w:r>
            <w:r w:rsidRPr="00F51F71">
              <w:rPr>
                <w:color w:val="auto"/>
                <w:lang w:val="uk-UA" w:eastAsia="uk-UA"/>
              </w:rPr>
              <w:t xml:space="preserve">).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7" w:name="n1486"/>
            <w:bookmarkEnd w:id="7"/>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8" w:name="n1487"/>
            <w:bookmarkEnd w:id="8"/>
            <w:r w:rsidRPr="00F51F71">
              <w:rPr>
                <w:color w:val="auto"/>
                <w:lang w:val="uk-UA" w:eastAsia="uk-UA"/>
              </w:rPr>
              <w:t xml:space="preserve">2) за рішенням суду щодо повернення забезпечення договору у випадку визнання результатів процедури закупівлі </w:t>
            </w:r>
            <w:proofErr w:type="spellStart"/>
            <w:r w:rsidRPr="00F51F71">
              <w:rPr>
                <w:color w:val="auto"/>
                <w:lang w:val="uk-UA" w:eastAsia="uk-UA"/>
              </w:rPr>
              <w:t>закупівлі</w:t>
            </w:r>
            <w:proofErr w:type="spellEnd"/>
            <w:r w:rsidRPr="00F51F71">
              <w:rPr>
                <w:color w:val="auto"/>
                <w:lang w:val="uk-UA" w:eastAsia="uk-UA"/>
              </w:rPr>
              <w:t xml:space="preserve">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9" w:name="n1488"/>
            <w:bookmarkEnd w:id="9"/>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10" w:name="n1489"/>
            <w:bookmarkEnd w:id="10"/>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1" w:name="n1490"/>
            <w:bookmarkEnd w:id="11"/>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2" w:name="_heading=h.2s8eyo1" w:colFirst="0" w:colLast="0"/>
      <w:bookmarkEnd w:id="12"/>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124F3F" w:rsidRDefault="00124F3F" w:rsidP="00174656">
      <w:pPr>
        <w:widowControl w:val="0"/>
        <w:jc w:val="right"/>
        <w:rPr>
          <w:b/>
          <w:lang w:eastAsia="uk-UA"/>
        </w:rPr>
      </w:pPr>
    </w:p>
    <w:p w:rsidR="00BC63BD" w:rsidRDefault="00BC63BD" w:rsidP="00A25D76">
      <w:pPr>
        <w:widowControl w:val="0"/>
        <w:rPr>
          <w:b/>
          <w:lang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827D98"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w:t>
            </w:r>
            <w:proofErr w:type="spellStart"/>
            <w:r w:rsidRPr="00BC63BD">
              <w:rPr>
                <w:rFonts w:ascii="Times New Roman" w:eastAsia="Calibri" w:hAnsi="Times New Roman"/>
                <w:color w:val="auto"/>
                <w:szCs w:val="22"/>
                <w:lang w:eastAsia="uk-UA"/>
              </w:rPr>
              <w:t>асфальтозмішувальної</w:t>
            </w:r>
            <w:proofErr w:type="spellEnd"/>
            <w:r w:rsidRPr="00BC63BD">
              <w:rPr>
                <w:rFonts w:ascii="Times New Roman" w:eastAsia="Calibri" w:hAnsi="Times New Roman"/>
                <w:color w:val="auto"/>
                <w:szCs w:val="22"/>
                <w:lang w:eastAsia="uk-UA"/>
              </w:rPr>
              <w:t xml:space="preserve">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-виробничої бази із зазначенням її місцезнаходження, за яким  тому числі, розміщена </w:t>
            </w:r>
            <w:proofErr w:type="spellStart"/>
            <w:r w:rsidRPr="00BC63BD">
              <w:rPr>
                <w:rFonts w:ascii="Times New Roman" w:eastAsia="Calibri" w:hAnsi="Times New Roman"/>
                <w:color w:val="auto"/>
                <w:szCs w:val="22"/>
                <w:lang w:eastAsia="uk-UA"/>
              </w:rPr>
              <w:t>асфальтозмішувальна</w:t>
            </w:r>
            <w:proofErr w:type="spellEnd"/>
            <w:r w:rsidRPr="00BC63BD">
              <w:rPr>
                <w:rFonts w:ascii="Times New Roman" w:eastAsia="Calibri" w:hAnsi="Times New Roman"/>
                <w:color w:val="auto"/>
                <w:szCs w:val="22"/>
                <w:lang w:eastAsia="uk-UA"/>
              </w:rPr>
              <w:t xml:space="preserve">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w:t>
            </w:r>
            <w:proofErr w:type="spellStart"/>
            <w:r w:rsidRPr="00BC63BD">
              <w:rPr>
                <w:rFonts w:ascii="Times New Roman" w:eastAsia="Calibri" w:hAnsi="Times New Roman"/>
                <w:color w:val="auto"/>
                <w:szCs w:val="22"/>
                <w:lang w:eastAsia="uk-UA"/>
              </w:rPr>
              <w:t>асфальтозмішувальної</w:t>
            </w:r>
            <w:proofErr w:type="spellEnd"/>
            <w:r w:rsidRPr="00BC63BD">
              <w:rPr>
                <w:rFonts w:ascii="Times New Roman" w:eastAsia="Calibri" w:hAnsi="Times New Roman"/>
                <w:color w:val="auto"/>
                <w:szCs w:val="22"/>
                <w:lang w:eastAsia="uk-UA"/>
              </w:rPr>
              <w:t xml:space="preserve">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w:t>
            </w:r>
            <w:proofErr w:type="spellStart"/>
            <w:r w:rsidRPr="00BC63BD">
              <w:rPr>
                <w:rFonts w:ascii="Times New Roman" w:eastAsia="Calibri" w:hAnsi="Times New Roman"/>
                <w:color w:val="auto"/>
                <w:szCs w:val="22"/>
                <w:lang w:eastAsia="uk-UA"/>
              </w:rPr>
              <w:t>пп</w:t>
            </w:r>
            <w:proofErr w:type="spellEnd"/>
            <w:r w:rsidRPr="00BC63BD">
              <w:rPr>
                <w:rFonts w:ascii="Times New Roman" w:eastAsia="Calibri" w:hAnsi="Times New Roman"/>
                <w:color w:val="auto"/>
                <w:szCs w:val="22"/>
                <w:lang w:eastAsia="uk-UA"/>
              </w:rPr>
              <w:t xml:space="preserve">.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xml:space="preserve">.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xml:space="preserve">.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F02FDE"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 xml:space="preserve">з дати оприлюднення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документи, що підтверджують відсутність підстав, зазна</w:t>
      </w:r>
      <w:r w:rsidR="00F02FDE">
        <w:rPr>
          <w:color w:val="auto"/>
          <w:sz w:val="22"/>
          <w:szCs w:val="22"/>
          <w:highlight w:val="white"/>
          <w:lang w:val="uk-UA" w:eastAsia="uk-UA"/>
        </w:rPr>
        <w:t>чених у підпунктах 3, 5, 6 і 12.</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Default="00D5742D"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Pr="00BC63BD" w:rsidRDefault="00E96328"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827D98"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F6590" w:rsidRPr="00DF6590" w:rsidRDefault="00D5742D" w:rsidP="00DF6590">
            <w:pPr>
              <w:ind w:right="140"/>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C63BD">
              <w:rPr>
                <w:rFonts w:ascii="Times New Roman" w:hAnsi="Times New Roman"/>
                <w:b/>
                <w:color w:val="auto"/>
                <w:sz w:val="20"/>
                <w:szCs w:val="20"/>
                <w:highlight w:val="white"/>
                <w:lang w:eastAsia="uk-UA"/>
              </w:rPr>
              <w:t>вебресурсі</w:t>
            </w:r>
            <w:proofErr w:type="spellEnd"/>
            <w:r w:rsidRPr="00BC63BD">
              <w:rPr>
                <w:rFonts w:ascii="Times New Roman" w:hAnsi="Times New Roman"/>
                <w:b/>
                <w:color w:val="auto"/>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r w:rsidR="00DF6590">
              <w:rPr>
                <w:rFonts w:ascii="Times New Roman" w:hAnsi="Times New Roman"/>
                <w:b/>
                <w:color w:val="auto"/>
                <w:sz w:val="20"/>
                <w:szCs w:val="20"/>
                <w:highlight w:val="white"/>
                <w:lang w:eastAsia="uk-UA"/>
              </w:rPr>
              <w:t xml:space="preserve">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 xml:space="preserve">Документ повинен бути не більше </w:t>
            </w:r>
            <w:proofErr w:type="spellStart"/>
            <w:r w:rsidRPr="00BC63BD">
              <w:rPr>
                <w:rFonts w:ascii="Times New Roman" w:hAnsi="Times New Roman"/>
                <w:b/>
                <w:color w:val="auto"/>
                <w:sz w:val="20"/>
                <w:szCs w:val="20"/>
                <w:highlight w:val="white"/>
                <w:lang w:eastAsia="uk-UA"/>
              </w:rPr>
              <w:t>тридцятиденної</w:t>
            </w:r>
            <w:proofErr w:type="spellEnd"/>
            <w:r w:rsidRPr="00BC63BD">
              <w:rPr>
                <w:rFonts w:ascii="Times New Roman" w:hAnsi="Times New Roman"/>
                <w:b/>
                <w:color w:val="auto"/>
                <w:sz w:val="20"/>
                <w:szCs w:val="20"/>
                <w:highlight w:val="white"/>
                <w:lang w:eastAsia="uk-UA"/>
              </w:rPr>
              <w:t xml:space="preserve">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Pr="00BC63BD" w:rsidRDefault="0066564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E96328" w:rsidRDefault="00E96328" w:rsidP="00D5742D">
      <w:pPr>
        <w:rPr>
          <w:b/>
          <w:color w:val="auto"/>
          <w:sz w:val="20"/>
          <w:szCs w:val="20"/>
          <w:lang w:val="uk-UA" w:eastAsia="uk-UA"/>
        </w:rPr>
      </w:pPr>
    </w:p>
    <w:p w:rsidR="00E96328" w:rsidRPr="00BC63BD" w:rsidRDefault="00E96328"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827D98" w:rsidTr="00E3653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C63BD">
              <w:rPr>
                <w:b/>
                <w:color w:val="auto"/>
                <w:sz w:val="20"/>
                <w:szCs w:val="20"/>
                <w:lang w:val="uk-UA" w:eastAsia="uk-UA"/>
              </w:rPr>
              <w:t>вебресурсі</w:t>
            </w:r>
            <w:proofErr w:type="spellEnd"/>
            <w:r w:rsidRPr="00BC63BD">
              <w:rPr>
                <w:b/>
                <w:color w:val="auto"/>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E3653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 xml:space="preserve">Документ повинен бути не більше </w:t>
            </w:r>
            <w:r w:rsidR="00E36534" w:rsidRPr="00BC63BD">
              <w:rPr>
                <w:b/>
                <w:color w:val="auto"/>
                <w:sz w:val="20"/>
                <w:szCs w:val="20"/>
                <w:lang w:val="uk-UA" w:eastAsia="uk-UA"/>
              </w:rPr>
              <w:t>тридцяти денної</w:t>
            </w:r>
            <w:r w:rsidRPr="00BC63BD">
              <w:rPr>
                <w:b/>
                <w:color w:val="auto"/>
                <w:sz w:val="20"/>
                <w:szCs w:val="20"/>
                <w:lang w:val="uk-UA" w:eastAsia="uk-UA"/>
              </w:rPr>
              <w:t xml:space="preserve"> давнини від дати подання документа.</w:t>
            </w:r>
            <w:r w:rsidRPr="00BC63BD">
              <w:rPr>
                <w:color w:val="auto"/>
                <w:sz w:val="20"/>
                <w:szCs w:val="20"/>
                <w:lang w:val="uk-UA" w:eastAsia="uk-UA"/>
              </w:rPr>
              <w:t> </w:t>
            </w:r>
          </w:p>
        </w:tc>
      </w:tr>
      <w:tr w:rsidR="00D5742D" w:rsidRPr="00BC63BD" w:rsidTr="00E3653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bl>
    <w:p w:rsidR="00D5742D" w:rsidRDefault="00D5742D"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Pr="00BC63BD" w:rsidRDefault="00E36534"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827D98"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w:t>
            </w:r>
            <w:proofErr w:type="spellStart"/>
            <w:r w:rsidRPr="00BC63BD">
              <w:rPr>
                <w:rFonts w:ascii="Times New Roman" w:hAnsi="Times New Roman"/>
                <w:color w:val="auto"/>
                <w:szCs w:val="22"/>
              </w:rPr>
              <w:t>пп</w:t>
            </w:r>
            <w:proofErr w:type="spellEnd"/>
            <w:r w:rsidRPr="00BC63BD">
              <w:rPr>
                <w:rFonts w:ascii="Times New Roman" w:hAnsi="Times New Roman"/>
                <w:color w:val="auto"/>
                <w:szCs w:val="22"/>
              </w:rPr>
              <w:t>.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Довідка в довільній формі з інформацією про громадянство учасника або його кінцевого </w:t>
            </w:r>
            <w:proofErr w:type="spellStart"/>
            <w:r w:rsidRPr="00BC63BD">
              <w:rPr>
                <w:rFonts w:ascii="Times New Roman" w:hAnsi="Times New Roman"/>
                <w:color w:val="auto"/>
                <w:szCs w:val="22"/>
                <w:lang w:eastAsia="uk-UA"/>
              </w:rPr>
              <w:t>бенефіціарного</w:t>
            </w:r>
            <w:proofErr w:type="spellEnd"/>
            <w:r w:rsidRPr="00BC63BD">
              <w:rPr>
                <w:rFonts w:ascii="Times New Roman" w:hAnsi="Times New Roman"/>
                <w:color w:val="auto"/>
                <w:szCs w:val="22"/>
                <w:lang w:eastAsia="uk-UA"/>
              </w:rPr>
              <w:t xml:space="preserve">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У разі якщо учасник або його кінцевий </w:t>
            </w:r>
            <w:proofErr w:type="spellStart"/>
            <w:r w:rsidRPr="00BC63BD">
              <w:rPr>
                <w:rFonts w:ascii="Times New Roman" w:hAnsi="Times New Roman"/>
                <w:color w:val="auto"/>
                <w:szCs w:val="22"/>
                <w:lang w:eastAsia="uk-UA"/>
              </w:rPr>
              <w:t>бенефіціарний</w:t>
            </w:r>
            <w:proofErr w:type="spellEnd"/>
            <w:r w:rsidRPr="00BC63BD">
              <w:rPr>
                <w:rFonts w:ascii="Times New Roman" w:hAnsi="Times New Roman"/>
                <w:color w:val="auto"/>
                <w:szCs w:val="22"/>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827D98"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827D98"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827D98"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Default="00D5742D"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402"/>
              <w:gridCol w:w="2268"/>
              <w:gridCol w:w="992"/>
              <w:gridCol w:w="992"/>
            </w:tblGrid>
            <w:tr w:rsidR="00DC1FD2" w:rsidRPr="00D5742D" w:rsidTr="004E71A9">
              <w:trPr>
                <w:trHeight w:val="274"/>
              </w:trPr>
              <w:tc>
                <w:tcPr>
                  <w:tcW w:w="279"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340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3402"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3402"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3402" w:type="dxa"/>
                  <w:shd w:val="clear" w:color="auto" w:fill="auto"/>
                </w:tcPr>
                <w:p w:rsidR="00DC1FD2" w:rsidRPr="00934470" w:rsidRDefault="00DC1FD2" w:rsidP="004155E7">
                  <w:pPr>
                    <w:rPr>
                      <w:sz w:val="18"/>
                      <w:lang w:val="uk-UA"/>
                    </w:rPr>
                  </w:pPr>
                  <w:r w:rsidRPr="0059051F">
                    <w:rPr>
                      <w:color w:val="auto"/>
                      <w:sz w:val="18"/>
                      <w:lang w:val="uk-UA" w:eastAsia="en-US"/>
                    </w:rPr>
                    <w:t xml:space="preserve"> </w:t>
                  </w:r>
                  <w:r w:rsidR="000F46F0" w:rsidRPr="000F46F0">
                    <w:rPr>
                      <w:color w:val="auto"/>
                      <w:sz w:val="18"/>
                      <w:szCs w:val="18"/>
                      <w:lang w:val="uk-UA" w:eastAsia="en-US"/>
                    </w:rPr>
                    <w:t>АБбмп.Др.</w:t>
                  </w:r>
                  <w:r w:rsidR="000F46F0" w:rsidRPr="000F46F0">
                    <w:rPr>
                      <w:sz w:val="18"/>
                      <w:szCs w:val="18"/>
                      <w:lang w:val="uk-UA"/>
                    </w:rPr>
                    <w:t>Щ.</w:t>
                  </w:r>
                  <w:r w:rsidR="000F46F0" w:rsidRPr="000F46F0">
                    <w:rPr>
                      <w:color w:val="auto"/>
                      <w:sz w:val="18"/>
                      <w:szCs w:val="18"/>
                      <w:lang w:val="uk-UA" w:eastAsia="en-US"/>
                    </w:rPr>
                    <w:t>А.НП.</w:t>
                  </w:r>
                  <w:r w:rsidR="000F46F0" w:rsidRPr="000F46F0">
                    <w:rPr>
                      <w:sz w:val="18"/>
                      <w:szCs w:val="18"/>
                      <w:lang w:val="uk-UA"/>
                    </w:rPr>
                    <w:t>1.</w:t>
                  </w:r>
                  <w:r w:rsidR="000F46F0" w:rsidRPr="000F46F0">
                    <w:rPr>
                      <w:color w:val="auto"/>
                      <w:sz w:val="18"/>
                      <w:szCs w:val="18"/>
                      <w:lang w:val="uk-UA" w:eastAsia="en-US"/>
                    </w:rPr>
                    <w:t>БМП</w:t>
                  </w:r>
                  <w:r w:rsidR="000F46F0" w:rsidRPr="00A64333">
                    <w:rPr>
                      <w:color w:val="auto"/>
                      <w:sz w:val="22"/>
                      <w:szCs w:val="22"/>
                      <w:lang w:val="uk-UA" w:eastAsia="en-US"/>
                    </w:rPr>
                    <w:t xml:space="preserve"> </w:t>
                  </w:r>
                  <w:r w:rsidRPr="0059051F">
                    <w:rPr>
                      <w:color w:val="auto"/>
                      <w:sz w:val="18"/>
                      <w:lang w:val="uk-UA" w:eastAsia="en-US"/>
                    </w:rPr>
                    <w:t>(модифікована полімером)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F5BE3"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400</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3402"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3402"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4E71A9">
              <w:tc>
                <w:tcPr>
                  <w:tcW w:w="279"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3402"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C62EAC">
        <w:trPr>
          <w:trHeight w:val="576"/>
        </w:trPr>
        <w:tc>
          <w:tcPr>
            <w:tcW w:w="8364" w:type="dxa"/>
            <w:tcBorders>
              <w:top w:val="single" w:sz="4" w:space="0" w:color="auto"/>
              <w:left w:val="single" w:sz="4" w:space="0" w:color="auto"/>
              <w:bottom w:val="single" w:sz="4" w:space="0" w:color="auto"/>
              <w:right w:val="single" w:sz="4" w:space="0" w:color="auto"/>
            </w:tcBorders>
          </w:tcPr>
          <w:p w:rsidR="00815B0A" w:rsidRPr="00D5742D" w:rsidRDefault="00974C08" w:rsidP="00D5742D">
            <w:pPr>
              <w:spacing w:line="259" w:lineRule="auto"/>
              <w:jc w:val="both"/>
              <w:rPr>
                <w:rFonts w:eastAsia="Calibri"/>
                <w:color w:val="auto"/>
                <w:sz w:val="20"/>
                <w:szCs w:val="20"/>
                <w:lang w:val="uk-UA" w:eastAsia="uk-UA"/>
              </w:rPr>
            </w:pPr>
            <w:r>
              <w:rPr>
                <w:rFonts w:eastAsia="Calibri"/>
                <w:color w:val="auto"/>
                <w:sz w:val="20"/>
                <w:szCs w:val="20"/>
                <w:lang w:val="uk-UA" w:eastAsia="uk-UA"/>
              </w:rPr>
              <w:t>1.2</w:t>
            </w:r>
            <w:r w:rsidR="00D5742D" w:rsidRPr="00D5742D">
              <w:rPr>
                <w:rFonts w:eastAsia="Calibri"/>
                <w:color w:val="auto"/>
                <w:sz w:val="20"/>
                <w:szCs w:val="20"/>
                <w:lang w:val="uk-UA" w:eastAsia="uk-UA"/>
              </w:rPr>
              <w:t xml:space="preserve"> Вказати місцезнаходження заводу, телефони, режим роботи та відстань перевезення до бази Замовника.</w:t>
            </w:r>
            <w:r w:rsidR="006B42D5">
              <w:rPr>
                <w:rFonts w:eastAsia="Calibri"/>
                <w:color w:val="auto"/>
                <w:sz w:val="20"/>
                <w:szCs w:val="20"/>
                <w:lang w:val="uk-UA" w:eastAsia="uk-UA"/>
              </w:rPr>
              <w:t xml:space="preserve"> (місце</w:t>
            </w:r>
            <w:r w:rsidR="006B42D5" w:rsidRPr="006B42D5">
              <w:rPr>
                <w:rFonts w:eastAsia="Calibri"/>
                <w:color w:val="auto"/>
                <w:sz w:val="20"/>
                <w:szCs w:val="20"/>
                <w:lang w:val="uk-UA" w:eastAsia="uk-UA"/>
              </w:rPr>
              <w:t xml:space="preserve"> розташування м.</w:t>
            </w:r>
            <w:r w:rsidR="0093430B">
              <w:rPr>
                <w:rFonts w:eastAsia="Calibri"/>
                <w:color w:val="auto"/>
                <w:sz w:val="20"/>
                <w:szCs w:val="20"/>
                <w:lang w:val="uk-UA" w:eastAsia="uk-UA"/>
              </w:rPr>
              <w:t xml:space="preserve"> Київ, </w:t>
            </w:r>
            <w:proofErr w:type="spellStart"/>
            <w:r w:rsidR="0093430B">
              <w:rPr>
                <w:rFonts w:eastAsia="Calibri"/>
                <w:color w:val="auto"/>
                <w:sz w:val="20"/>
                <w:szCs w:val="20"/>
                <w:lang w:val="uk-UA" w:eastAsia="uk-UA"/>
              </w:rPr>
              <w:t>вул.Електротехнічна</w:t>
            </w:r>
            <w:proofErr w:type="spellEnd"/>
            <w:r w:rsidR="0093430B">
              <w:rPr>
                <w:rFonts w:eastAsia="Calibri"/>
                <w:color w:val="auto"/>
                <w:sz w:val="20"/>
                <w:szCs w:val="20"/>
                <w:lang w:val="uk-UA" w:eastAsia="uk-UA"/>
              </w:rPr>
              <w:t>, 6).</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CD6DED">
            <w:pPr>
              <w:ind w:left="34"/>
              <w:jc w:val="both"/>
              <w:rPr>
                <w:rFonts w:eastAsia="Calibri"/>
                <w:color w:val="auto"/>
                <w:sz w:val="20"/>
                <w:szCs w:val="20"/>
                <w:lang w:val="uk-UA" w:eastAsia="uk-UA"/>
              </w:rPr>
            </w:pPr>
            <w:r>
              <w:rPr>
                <w:rFonts w:eastAsia="Calibri"/>
                <w:color w:val="auto"/>
                <w:sz w:val="20"/>
                <w:szCs w:val="20"/>
                <w:lang w:val="uk-UA" w:eastAsia="uk-UA"/>
              </w:rPr>
              <w:t>1.3</w:t>
            </w:r>
            <w:r w:rsidR="00D5742D" w:rsidRPr="00D5742D">
              <w:rPr>
                <w:rFonts w:eastAsia="Calibri"/>
                <w:color w:val="auto"/>
                <w:sz w:val="20"/>
                <w:szCs w:val="20"/>
                <w:lang w:val="uk-UA" w:eastAsia="uk-UA"/>
              </w:rPr>
              <w:t>.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proofErr w:type="spellStart"/>
            <w:r w:rsidR="00FF27B6" w:rsidRPr="00FF27B6">
              <w:rPr>
                <w:sz w:val="20"/>
                <w:shd w:val="clear" w:color="auto" w:fill="FFFFFF"/>
              </w:rPr>
              <w:t>Технічні</w:t>
            </w:r>
            <w:proofErr w:type="spellEnd"/>
            <w:r w:rsidR="00FF27B6" w:rsidRPr="00FF27B6">
              <w:rPr>
                <w:sz w:val="20"/>
                <w:shd w:val="clear" w:color="auto" w:fill="FFFFFF"/>
              </w:rPr>
              <w:t xml:space="preserve"> </w:t>
            </w:r>
            <w:proofErr w:type="spellStart"/>
            <w:r w:rsidR="00FF27B6" w:rsidRPr="00FF27B6">
              <w:rPr>
                <w:sz w:val="20"/>
                <w:shd w:val="clear" w:color="auto" w:fill="FFFFFF"/>
              </w:rPr>
              <w:t>умови</w:t>
            </w:r>
            <w:proofErr w:type="spellEnd"/>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3B657E">
            <w:pPr>
              <w:spacing w:after="160" w:line="20" w:lineRule="atLeast"/>
              <w:contextualSpacing/>
              <w:jc w:val="both"/>
              <w:rPr>
                <w:rFonts w:eastAsia="Calibri"/>
                <w:color w:val="auto"/>
                <w:sz w:val="20"/>
                <w:szCs w:val="20"/>
                <w:lang w:val="uk-UA" w:eastAsia="uk-UA"/>
              </w:rPr>
            </w:pPr>
            <w:r>
              <w:rPr>
                <w:rFonts w:eastAsia="Calibri"/>
                <w:color w:val="auto"/>
                <w:sz w:val="20"/>
                <w:szCs w:val="20"/>
                <w:lang w:val="uk-UA" w:eastAsia="uk-UA"/>
              </w:rPr>
              <w:t xml:space="preserve">1.4. </w:t>
            </w:r>
            <w:r w:rsidR="00D5742D"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93430B"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93430B" w:rsidRDefault="0093430B" w:rsidP="0093430B">
            <w:pPr>
              <w:rPr>
                <w:rFonts w:eastAsia="Calibri"/>
                <w:color w:val="auto"/>
                <w:sz w:val="20"/>
                <w:szCs w:val="20"/>
                <w:lang w:val="uk-UA" w:eastAsia="uk-UA"/>
              </w:rPr>
            </w:pPr>
            <w:r>
              <w:rPr>
                <w:rFonts w:eastAsia="Calibri"/>
                <w:color w:val="auto"/>
                <w:sz w:val="20"/>
                <w:szCs w:val="20"/>
                <w:lang w:val="uk-UA" w:eastAsia="uk-UA"/>
              </w:rPr>
              <w:t xml:space="preserve">1.9. </w:t>
            </w:r>
            <w:r w:rsidRPr="0093430B">
              <w:rPr>
                <w:rFonts w:eastAsia="Calibri"/>
                <w:color w:val="auto"/>
                <w:sz w:val="20"/>
                <w:szCs w:val="20"/>
                <w:lang w:val="uk-UA" w:eastAsia="uk-UA"/>
              </w:rPr>
              <w:t xml:space="preserve">Ми підтверджуємо, що до нас Замовником не застосовувались встановлені господарським договором </w:t>
            </w:r>
            <w:proofErr w:type="spellStart"/>
            <w:r w:rsidRPr="0093430B">
              <w:rPr>
                <w:rFonts w:eastAsia="Calibri"/>
                <w:color w:val="auto"/>
                <w:sz w:val="20"/>
                <w:szCs w:val="20"/>
                <w:lang w:val="uk-UA" w:eastAsia="uk-UA"/>
              </w:rPr>
              <w:t>оперативно</w:t>
            </w:r>
            <w:proofErr w:type="spellEnd"/>
            <w:r w:rsidRPr="0093430B">
              <w:rPr>
                <w:rFonts w:eastAsia="Calibri"/>
                <w:color w:val="auto"/>
                <w:sz w:val="20"/>
                <w:szCs w:val="20"/>
                <w:lang w:val="uk-UA"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3430B" w:rsidRPr="0093430B" w:rsidRDefault="0093430B" w:rsidP="0093430B">
            <w:pPr>
              <w:rPr>
                <w:rFonts w:eastAsia="Calibri"/>
                <w:color w:val="auto"/>
                <w:sz w:val="20"/>
                <w:szCs w:val="20"/>
                <w:lang w:val="uk-UA" w:eastAsia="uk-UA"/>
              </w:rPr>
            </w:pPr>
            <w:r>
              <w:rPr>
                <w:rFonts w:eastAsia="Calibri"/>
                <w:color w:val="auto"/>
                <w:sz w:val="20"/>
                <w:szCs w:val="20"/>
                <w:lang w:val="uk-UA" w:eastAsia="uk-UA"/>
              </w:rPr>
              <w:t>У разі надання недостовірної інформації замовник вправі відхилити учасника.</w:t>
            </w:r>
          </w:p>
          <w:p w:rsidR="0093430B" w:rsidRPr="00D5742D" w:rsidRDefault="0093430B" w:rsidP="0093430B">
            <w:pPr>
              <w:spacing w:after="160" w:line="20" w:lineRule="atLeast"/>
              <w:ind w:left="34"/>
              <w:contextualSpacing/>
              <w:jc w:val="both"/>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93430B" w:rsidRPr="00D5742D" w:rsidRDefault="0093430B" w:rsidP="00D5742D">
            <w:pPr>
              <w:spacing w:after="160" w:line="259" w:lineRule="auto"/>
              <w:rPr>
                <w:rFonts w:eastAsia="Calibri"/>
                <w:color w:val="auto"/>
                <w:sz w:val="20"/>
                <w:szCs w:val="20"/>
                <w:lang w:val="uk-UA" w:eastAsia="uk-UA"/>
              </w:rPr>
            </w:pPr>
            <w:r>
              <w:rPr>
                <w:rFonts w:eastAsia="Calibri"/>
                <w:color w:val="auto"/>
                <w:sz w:val="20"/>
                <w:szCs w:val="20"/>
                <w:lang w:val="uk-UA" w:eastAsia="uk-UA"/>
              </w:rPr>
              <w:t xml:space="preserve"> Гарантійний лист</w:t>
            </w: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CD7697" w:rsidRDefault="00D7645B" w:rsidP="00B20C87">
      <w:pPr>
        <w:spacing w:before="240"/>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p>
    <w:p w:rsidR="00B20C87" w:rsidRPr="00B20C87" w:rsidRDefault="007C2F6B" w:rsidP="00B20C87">
      <w:pPr>
        <w:spacing w:before="240"/>
        <w:jc w:val="center"/>
        <w:rPr>
          <w:b/>
          <w:lang w:val="uk-UA"/>
        </w:rPr>
      </w:pPr>
      <w:r>
        <w:rPr>
          <w:snapToGrid w:val="0"/>
          <w:color w:val="auto"/>
          <w:lang w:val="uk-UA"/>
        </w:rPr>
        <w:t xml:space="preserve">  </w:t>
      </w:r>
      <w:r w:rsidR="00D7645B"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827D98"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w:t>
            </w:r>
            <w:proofErr w:type="spellStart"/>
            <w:r w:rsidRPr="00D7645B">
              <w:rPr>
                <w:i/>
                <w:iCs/>
                <w:snapToGrid w:val="0"/>
                <w:color w:val="auto"/>
                <w:lang w:val="uk-UA"/>
              </w:rPr>
              <w:t>mail</w:t>
            </w:r>
            <w:proofErr w:type="spellEnd"/>
            <w:r w:rsidRPr="00D7645B">
              <w:rPr>
                <w:i/>
                <w:iCs/>
                <w:snapToGrid w:val="0"/>
                <w:color w:val="auto"/>
                <w:lang w:val="uk-UA"/>
              </w:rPr>
              <w:t>: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w:t>
            </w:r>
            <w:proofErr w:type="spellStart"/>
            <w:r w:rsidRPr="00D7645B">
              <w:rPr>
                <w:i/>
                <w:snapToGrid w:val="0"/>
                <w:color w:val="auto"/>
                <w:lang w:val="uk-UA"/>
              </w:rPr>
              <w:t>mail</w:t>
            </w:r>
            <w:proofErr w:type="spellEnd"/>
            <w:r w:rsidRPr="00D7645B">
              <w:rPr>
                <w:i/>
                <w:snapToGrid w:val="0"/>
                <w:color w:val="auto"/>
                <w:lang w:val="uk-UA"/>
              </w:rPr>
              <w:t>: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F0C79">
        <w:trPr>
          <w:trHeight w:val="384"/>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F0C79">
            <w:pPr>
              <w:rPr>
                <w:sz w:val="18"/>
                <w:lang w:val="uk-UA"/>
              </w:rPr>
            </w:pPr>
            <w:r w:rsidRPr="0059051F">
              <w:rPr>
                <w:color w:val="auto"/>
                <w:sz w:val="18"/>
                <w:lang w:val="uk-UA" w:eastAsia="en-US"/>
              </w:rPr>
              <w:t xml:space="preserve"> </w:t>
            </w:r>
            <w:r w:rsidR="000F46F0" w:rsidRPr="000F46F0">
              <w:rPr>
                <w:color w:val="auto"/>
                <w:sz w:val="18"/>
                <w:szCs w:val="18"/>
                <w:lang w:val="uk-UA" w:eastAsia="en-US"/>
              </w:rPr>
              <w:t>АБбмп.Др.</w:t>
            </w:r>
            <w:r w:rsidR="000F46F0" w:rsidRPr="000F46F0">
              <w:rPr>
                <w:sz w:val="18"/>
                <w:szCs w:val="18"/>
                <w:lang w:val="uk-UA"/>
              </w:rPr>
              <w:t>Щ.</w:t>
            </w:r>
            <w:r w:rsidR="000F46F0" w:rsidRPr="000F46F0">
              <w:rPr>
                <w:color w:val="auto"/>
                <w:sz w:val="18"/>
                <w:szCs w:val="18"/>
                <w:lang w:val="uk-UA" w:eastAsia="en-US"/>
              </w:rPr>
              <w:t>А.НП.</w:t>
            </w:r>
            <w:r w:rsidR="000F46F0" w:rsidRPr="000F46F0">
              <w:rPr>
                <w:sz w:val="18"/>
                <w:szCs w:val="18"/>
                <w:lang w:val="uk-UA"/>
              </w:rPr>
              <w:t>1.</w:t>
            </w:r>
            <w:r w:rsidR="000F46F0" w:rsidRPr="000F46F0">
              <w:rPr>
                <w:color w:val="auto"/>
                <w:sz w:val="18"/>
                <w:szCs w:val="18"/>
                <w:lang w:val="uk-UA" w:eastAsia="en-US"/>
              </w:rPr>
              <w:t>БМП</w:t>
            </w:r>
            <w:r w:rsidR="000F46F0" w:rsidRPr="00A64333">
              <w:rPr>
                <w:color w:val="auto"/>
                <w:sz w:val="22"/>
                <w:szCs w:val="22"/>
                <w:lang w:val="uk-UA" w:eastAsia="en-US"/>
              </w:rPr>
              <w:t xml:space="preserve"> </w:t>
            </w:r>
            <w:r w:rsidRPr="0059051F">
              <w:rPr>
                <w:color w:val="auto"/>
                <w:sz w:val="18"/>
                <w:lang w:val="uk-UA" w:eastAsia="en-US"/>
              </w:rPr>
              <w:t>(модифікована полімером )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w:t>
      </w:r>
      <w:proofErr w:type="spellStart"/>
      <w:r w:rsidRPr="00D7645B">
        <w:rPr>
          <w:color w:val="auto"/>
          <w:lang w:val="uk-UA"/>
        </w:rPr>
        <w:t>закупівель</w:t>
      </w:r>
      <w:proofErr w:type="spellEnd"/>
      <w:r w:rsidRPr="00D7645B">
        <w:rPr>
          <w:color w:val="auto"/>
          <w:lang w:val="uk-UA"/>
        </w:rPr>
        <w:t xml:space="preserve">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w:t>
      </w:r>
      <w:proofErr w:type="spellStart"/>
      <w:r w:rsidRPr="00D7645B">
        <w:rPr>
          <w:color w:val="auto"/>
          <w:lang w:val="uk-UA"/>
        </w:rPr>
        <w:t>закупівель</w:t>
      </w:r>
      <w:proofErr w:type="spellEnd"/>
      <w:r w:rsidRPr="00D7645B">
        <w:rPr>
          <w:color w:val="auto"/>
          <w:lang w:val="uk-UA"/>
        </w:rPr>
        <w:t xml:space="preserve">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Default="00D7645B" w:rsidP="00D7645B">
      <w:pPr>
        <w:widowControl w:val="0"/>
        <w:autoSpaceDN w:val="0"/>
        <w:ind w:firstLine="426"/>
        <w:jc w:val="both"/>
        <w:textAlignment w:val="baseline"/>
        <w:rPr>
          <w:snapToGrid w:val="0"/>
          <w:color w:val="auto"/>
          <w:szCs w:val="20"/>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 xml:space="preserve">застосовувались встановлені господарським договором </w:t>
      </w:r>
      <w:proofErr w:type="spellStart"/>
      <w:r w:rsidRPr="00D7645B">
        <w:rPr>
          <w:snapToGrid w:val="0"/>
          <w:color w:val="auto"/>
          <w:szCs w:val="20"/>
          <w:lang w:val="uk-UA" w:eastAsia="uk-UA"/>
        </w:rPr>
        <w:t>оперативно</w:t>
      </w:r>
      <w:proofErr w:type="spellEnd"/>
      <w:r w:rsidRPr="00D7645B">
        <w:rPr>
          <w:snapToGrid w:val="0"/>
          <w:color w:val="auto"/>
          <w:szCs w:val="20"/>
          <w:lang w:val="uk-UA"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4D76C3" w:rsidRDefault="004D76C3" w:rsidP="00D7645B">
      <w:pPr>
        <w:jc w:val="both"/>
        <w:rPr>
          <w:snapToGrid w:val="0"/>
          <w:color w:val="auto"/>
          <w:szCs w:val="20"/>
          <w:lang w:val="uk-UA" w:eastAsia="uk-UA"/>
        </w:rPr>
      </w:pP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808"/>
        <w:gridCol w:w="4831"/>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 xml:space="preserve">проведених у порядку, що </w:t>
      </w:r>
      <w:proofErr w:type="spellStart"/>
      <w:r w:rsidRPr="0014722E">
        <w:rPr>
          <w:color w:val="auto"/>
          <w:lang w:val="uk-UA" w:eastAsia="zh-CN"/>
        </w:rPr>
        <w:t>визначе</w:t>
      </w:r>
      <w:r w:rsidR="00434DA4">
        <w:rPr>
          <w:color w:val="auto"/>
          <w:lang w:val="uk-UA" w:eastAsia="zh-CN"/>
        </w:rPr>
        <w:t>достав</w:t>
      </w:r>
      <w:r w:rsidRPr="0014722E">
        <w:rPr>
          <w:color w:val="auto"/>
          <w:lang w:val="uk-UA" w:eastAsia="zh-CN"/>
        </w:rPr>
        <w:t>ний</w:t>
      </w:r>
      <w:proofErr w:type="spellEnd"/>
      <w:r w:rsidRPr="0014722E">
        <w:rPr>
          <w:color w:val="auto"/>
          <w:lang w:val="uk-UA" w:eastAsia="zh-CN"/>
        </w:rPr>
        <w:t xml:space="preserve"> особливостями здійснення публічних </w:t>
      </w:r>
      <w:proofErr w:type="spellStart"/>
      <w:r w:rsidRPr="0014722E">
        <w:rPr>
          <w:color w:val="auto"/>
          <w:lang w:val="uk-UA" w:eastAsia="zh-CN"/>
        </w:rPr>
        <w:t>закупівель</w:t>
      </w:r>
      <w:proofErr w:type="spellEnd"/>
      <w:r w:rsidRPr="0014722E">
        <w:rPr>
          <w:color w:val="auto"/>
          <w:lang w:val="uk-UA" w:eastAsia="zh-CN"/>
        </w:rPr>
        <w:t xml:space="preserve">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w:t>
      </w:r>
      <w:proofErr w:type="spellStart"/>
      <w:r w:rsidRPr="0014722E">
        <w:rPr>
          <w:rFonts w:eastAsia="Calibri"/>
          <w:color w:val="auto"/>
          <w:lang w:val="uk-UA"/>
        </w:rPr>
        <w:t>непоставку</w:t>
      </w:r>
      <w:proofErr w:type="spellEnd"/>
      <w:r w:rsidRPr="0014722E">
        <w:rPr>
          <w:rFonts w:eastAsia="Calibri"/>
          <w:color w:val="auto"/>
          <w:lang w:val="uk-UA"/>
        </w:rPr>
        <w:t xml:space="preserve">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w:t>
      </w:r>
      <w:proofErr w:type="spellStart"/>
      <w:r w:rsidRPr="0014722E">
        <w:rPr>
          <w:rFonts w:eastAsia="Calibri"/>
          <w:color w:val="auto"/>
          <w:lang w:val="uk-UA"/>
        </w:rPr>
        <w:t>Акта</w:t>
      </w:r>
      <w:proofErr w:type="spellEnd"/>
      <w:r w:rsidRPr="0014722E">
        <w:rPr>
          <w:rFonts w:eastAsia="Calibri"/>
          <w:color w:val="auto"/>
          <w:lang w:val="uk-UA"/>
        </w:rPr>
        <w:t xml:space="preserve">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w:t>
      </w:r>
      <w:proofErr w:type="spellStart"/>
      <w:r w:rsidRPr="0014722E">
        <w:rPr>
          <w:rFonts w:eastAsia="Calibri"/>
          <w:color w:val="auto"/>
          <w:lang w:val="uk-UA"/>
        </w:rPr>
        <w:t>Акта</w:t>
      </w:r>
      <w:proofErr w:type="spellEnd"/>
      <w:r w:rsidRPr="0014722E">
        <w:rPr>
          <w:rFonts w:eastAsia="Calibri"/>
          <w:color w:val="auto"/>
          <w:lang w:val="uk-UA"/>
        </w:rPr>
        <w:t xml:space="preserve">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4896"/>
        <w:gridCol w:w="4743"/>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w:t>
            </w:r>
            <w:proofErr w:type="spellStart"/>
            <w:r w:rsidR="00247AA9">
              <w:rPr>
                <w:rFonts w:eastAsia="Calibri"/>
                <w:b/>
                <w:bCs/>
                <w:color w:val="auto"/>
                <w:lang w:val="uk-UA" w:eastAsia="uk-UA"/>
              </w:rPr>
              <w:t>м.Києва</w:t>
            </w:r>
            <w:proofErr w:type="spellEnd"/>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98" w:rsidRDefault="00827D98">
      <w:r>
        <w:separator/>
      </w:r>
    </w:p>
  </w:endnote>
  <w:endnote w:type="continuationSeparator" w:id="0">
    <w:p w:rsidR="00827D98" w:rsidRDefault="0082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98" w:rsidRDefault="00827D98">
    <w:pPr>
      <w:jc w:val="right"/>
    </w:pPr>
    <w:r>
      <w:fldChar w:fldCharType="begin"/>
    </w:r>
    <w:r>
      <w:instrText>PAGE</w:instrText>
    </w:r>
    <w:r>
      <w:fldChar w:fldCharType="separate"/>
    </w:r>
    <w:r w:rsidR="00074FD7">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98" w:rsidRDefault="00827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98" w:rsidRDefault="00827D98">
      <w:r>
        <w:separator/>
      </w:r>
    </w:p>
  </w:footnote>
  <w:footnote w:type="continuationSeparator" w:id="0">
    <w:p w:rsidR="00827D98" w:rsidRDefault="0082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98" w:rsidRDefault="00827D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C0ADD"/>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7">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8">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4">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7"/>
  </w:num>
  <w:num w:numId="6">
    <w:abstractNumId w:val="18"/>
  </w:num>
  <w:num w:numId="7">
    <w:abstractNumId w:val="35"/>
  </w:num>
  <w:num w:numId="8">
    <w:abstractNumId w:val="3"/>
  </w:num>
  <w:num w:numId="9">
    <w:abstractNumId w:val="14"/>
  </w:num>
  <w:num w:numId="10">
    <w:abstractNumId w:val="13"/>
  </w:num>
  <w:num w:numId="11">
    <w:abstractNumId w:val="30"/>
  </w:num>
  <w:num w:numId="12">
    <w:abstractNumId w:val="1"/>
  </w:num>
  <w:num w:numId="13">
    <w:abstractNumId w:val="26"/>
  </w:num>
  <w:num w:numId="14">
    <w:abstractNumId w:val="22"/>
  </w:num>
  <w:num w:numId="15">
    <w:abstractNumId w:val="19"/>
  </w:num>
  <w:num w:numId="16">
    <w:abstractNumId w:val="28"/>
  </w:num>
  <w:num w:numId="17">
    <w:abstractNumId w:val="15"/>
  </w:num>
  <w:num w:numId="18">
    <w:abstractNumId w:val="25"/>
  </w:num>
  <w:num w:numId="19">
    <w:abstractNumId w:val="21"/>
  </w:num>
  <w:num w:numId="20">
    <w:abstractNumId w:val="29"/>
  </w:num>
  <w:num w:numId="21">
    <w:abstractNumId w:val="4"/>
  </w:num>
  <w:num w:numId="22">
    <w:abstractNumId w:val="9"/>
  </w:num>
  <w:num w:numId="23">
    <w:abstractNumId w:val="3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17"/>
  </w:num>
  <w:num w:numId="29">
    <w:abstractNumId w:val="8"/>
  </w:num>
  <w:num w:numId="30">
    <w:abstractNumId w:val="10"/>
  </w:num>
  <w:num w:numId="31">
    <w:abstractNumId w:val="23"/>
  </w:num>
  <w:num w:numId="32">
    <w:abstractNumId w:val="11"/>
  </w:num>
  <w:num w:numId="33">
    <w:abstractNumId w:val="20"/>
  </w:num>
  <w:num w:numId="34">
    <w:abstractNumId w:val="7"/>
  </w:num>
  <w:num w:numId="35">
    <w:abstractNumId w:val="24"/>
  </w:num>
  <w:num w:numId="36">
    <w:abstractNumId w:val="12"/>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7D"/>
    <w:rsid w:val="0000393A"/>
    <w:rsid w:val="00017C2C"/>
    <w:rsid w:val="000424DA"/>
    <w:rsid w:val="00047E9F"/>
    <w:rsid w:val="00052B2A"/>
    <w:rsid w:val="000575AE"/>
    <w:rsid w:val="00066628"/>
    <w:rsid w:val="000700BD"/>
    <w:rsid w:val="00074FD7"/>
    <w:rsid w:val="0008527B"/>
    <w:rsid w:val="000A398B"/>
    <w:rsid w:val="000A3DBF"/>
    <w:rsid w:val="000A7535"/>
    <w:rsid w:val="000C16EA"/>
    <w:rsid w:val="000C5C79"/>
    <w:rsid w:val="000D327E"/>
    <w:rsid w:val="000D4E10"/>
    <w:rsid w:val="000D693B"/>
    <w:rsid w:val="000E2515"/>
    <w:rsid w:val="000E5BD1"/>
    <w:rsid w:val="000F46F0"/>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0C79"/>
    <w:rsid w:val="001F6729"/>
    <w:rsid w:val="00210A6D"/>
    <w:rsid w:val="0021380A"/>
    <w:rsid w:val="00217098"/>
    <w:rsid w:val="00217A98"/>
    <w:rsid w:val="00226929"/>
    <w:rsid w:val="002273D1"/>
    <w:rsid w:val="00232678"/>
    <w:rsid w:val="00240961"/>
    <w:rsid w:val="00247AA9"/>
    <w:rsid w:val="00251590"/>
    <w:rsid w:val="0026485A"/>
    <w:rsid w:val="00264CBF"/>
    <w:rsid w:val="00290815"/>
    <w:rsid w:val="00291858"/>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657E"/>
    <w:rsid w:val="003B76C7"/>
    <w:rsid w:val="003C29AD"/>
    <w:rsid w:val="003C6934"/>
    <w:rsid w:val="003D0069"/>
    <w:rsid w:val="003E187D"/>
    <w:rsid w:val="003E30DC"/>
    <w:rsid w:val="004025B5"/>
    <w:rsid w:val="004050E6"/>
    <w:rsid w:val="004108D9"/>
    <w:rsid w:val="00411F3B"/>
    <w:rsid w:val="00414F49"/>
    <w:rsid w:val="004155E7"/>
    <w:rsid w:val="004220AD"/>
    <w:rsid w:val="00427E1D"/>
    <w:rsid w:val="00434DA4"/>
    <w:rsid w:val="0045065D"/>
    <w:rsid w:val="00452298"/>
    <w:rsid w:val="00453D0C"/>
    <w:rsid w:val="00456541"/>
    <w:rsid w:val="00464F98"/>
    <w:rsid w:val="00475901"/>
    <w:rsid w:val="004759CC"/>
    <w:rsid w:val="004760FD"/>
    <w:rsid w:val="00493449"/>
    <w:rsid w:val="004961F1"/>
    <w:rsid w:val="004D0EEA"/>
    <w:rsid w:val="004D76C3"/>
    <w:rsid w:val="004E71A9"/>
    <w:rsid w:val="00503FB7"/>
    <w:rsid w:val="00511800"/>
    <w:rsid w:val="00511DD7"/>
    <w:rsid w:val="00512F27"/>
    <w:rsid w:val="00545794"/>
    <w:rsid w:val="00554CF8"/>
    <w:rsid w:val="00580AC9"/>
    <w:rsid w:val="005811D1"/>
    <w:rsid w:val="005871A9"/>
    <w:rsid w:val="00590371"/>
    <w:rsid w:val="005918CA"/>
    <w:rsid w:val="005960DE"/>
    <w:rsid w:val="005A1CE8"/>
    <w:rsid w:val="005A3E2F"/>
    <w:rsid w:val="005C0A81"/>
    <w:rsid w:val="005C389D"/>
    <w:rsid w:val="005E3891"/>
    <w:rsid w:val="005F3D7C"/>
    <w:rsid w:val="00600EA3"/>
    <w:rsid w:val="00612E18"/>
    <w:rsid w:val="00626C76"/>
    <w:rsid w:val="00630A8E"/>
    <w:rsid w:val="00630C14"/>
    <w:rsid w:val="006314B1"/>
    <w:rsid w:val="006314C1"/>
    <w:rsid w:val="00644542"/>
    <w:rsid w:val="00650853"/>
    <w:rsid w:val="006513C0"/>
    <w:rsid w:val="006519F5"/>
    <w:rsid w:val="00652B9B"/>
    <w:rsid w:val="00661E37"/>
    <w:rsid w:val="0066564D"/>
    <w:rsid w:val="0067524D"/>
    <w:rsid w:val="006760E5"/>
    <w:rsid w:val="00685D2B"/>
    <w:rsid w:val="006A6F53"/>
    <w:rsid w:val="006B3655"/>
    <w:rsid w:val="006B42D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690"/>
    <w:rsid w:val="007E7945"/>
    <w:rsid w:val="007E7F53"/>
    <w:rsid w:val="007F0708"/>
    <w:rsid w:val="007F2C8A"/>
    <w:rsid w:val="007F671C"/>
    <w:rsid w:val="007F7B96"/>
    <w:rsid w:val="00815B0A"/>
    <w:rsid w:val="00827D98"/>
    <w:rsid w:val="0083324D"/>
    <w:rsid w:val="008362F1"/>
    <w:rsid w:val="00853007"/>
    <w:rsid w:val="00857160"/>
    <w:rsid w:val="00875EFD"/>
    <w:rsid w:val="00880C49"/>
    <w:rsid w:val="008A0A0A"/>
    <w:rsid w:val="008A2983"/>
    <w:rsid w:val="008A31D8"/>
    <w:rsid w:val="008A4136"/>
    <w:rsid w:val="008B6CD7"/>
    <w:rsid w:val="008B722C"/>
    <w:rsid w:val="008C1E96"/>
    <w:rsid w:val="008D08DF"/>
    <w:rsid w:val="008D0B5E"/>
    <w:rsid w:val="008E2AB1"/>
    <w:rsid w:val="008E2B17"/>
    <w:rsid w:val="008F6EA0"/>
    <w:rsid w:val="0090079C"/>
    <w:rsid w:val="009067A1"/>
    <w:rsid w:val="0091254D"/>
    <w:rsid w:val="00915B55"/>
    <w:rsid w:val="00920074"/>
    <w:rsid w:val="00921EC7"/>
    <w:rsid w:val="009226A7"/>
    <w:rsid w:val="0092452A"/>
    <w:rsid w:val="00932EEF"/>
    <w:rsid w:val="0093430B"/>
    <w:rsid w:val="00934470"/>
    <w:rsid w:val="0094115F"/>
    <w:rsid w:val="0094210E"/>
    <w:rsid w:val="009459A6"/>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AE6EDF"/>
    <w:rsid w:val="00B01129"/>
    <w:rsid w:val="00B20C87"/>
    <w:rsid w:val="00B32411"/>
    <w:rsid w:val="00B37C88"/>
    <w:rsid w:val="00B40085"/>
    <w:rsid w:val="00B4369A"/>
    <w:rsid w:val="00B442FC"/>
    <w:rsid w:val="00B518E7"/>
    <w:rsid w:val="00B5246B"/>
    <w:rsid w:val="00B52B73"/>
    <w:rsid w:val="00B56892"/>
    <w:rsid w:val="00B62187"/>
    <w:rsid w:val="00B86459"/>
    <w:rsid w:val="00BA7641"/>
    <w:rsid w:val="00BB170D"/>
    <w:rsid w:val="00BB44C3"/>
    <w:rsid w:val="00BC1C5E"/>
    <w:rsid w:val="00BC5AF9"/>
    <w:rsid w:val="00BC63BD"/>
    <w:rsid w:val="00BD30AD"/>
    <w:rsid w:val="00BD41CB"/>
    <w:rsid w:val="00BE4124"/>
    <w:rsid w:val="00C036F2"/>
    <w:rsid w:val="00C0372A"/>
    <w:rsid w:val="00C04FF2"/>
    <w:rsid w:val="00C139C9"/>
    <w:rsid w:val="00C27869"/>
    <w:rsid w:val="00C35784"/>
    <w:rsid w:val="00C416C5"/>
    <w:rsid w:val="00C45254"/>
    <w:rsid w:val="00C45C7C"/>
    <w:rsid w:val="00C565CD"/>
    <w:rsid w:val="00C62EAC"/>
    <w:rsid w:val="00C947EF"/>
    <w:rsid w:val="00C96723"/>
    <w:rsid w:val="00CA08C6"/>
    <w:rsid w:val="00CA3290"/>
    <w:rsid w:val="00CA6F8F"/>
    <w:rsid w:val="00CB2AAF"/>
    <w:rsid w:val="00CB6632"/>
    <w:rsid w:val="00CC0B08"/>
    <w:rsid w:val="00CC1F65"/>
    <w:rsid w:val="00CD0FCC"/>
    <w:rsid w:val="00CD6DED"/>
    <w:rsid w:val="00CD7697"/>
    <w:rsid w:val="00CE5F41"/>
    <w:rsid w:val="00CF0EA4"/>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DF5BE3"/>
    <w:rsid w:val="00DF6590"/>
    <w:rsid w:val="00E00C01"/>
    <w:rsid w:val="00E02AF9"/>
    <w:rsid w:val="00E12590"/>
    <w:rsid w:val="00E142CF"/>
    <w:rsid w:val="00E1666B"/>
    <w:rsid w:val="00E175C0"/>
    <w:rsid w:val="00E179A2"/>
    <w:rsid w:val="00E17B9F"/>
    <w:rsid w:val="00E36534"/>
    <w:rsid w:val="00E45BB0"/>
    <w:rsid w:val="00E502E5"/>
    <w:rsid w:val="00E50AB9"/>
    <w:rsid w:val="00E60BAE"/>
    <w:rsid w:val="00E863A9"/>
    <w:rsid w:val="00E879E9"/>
    <w:rsid w:val="00E87FA8"/>
    <w:rsid w:val="00E90923"/>
    <w:rsid w:val="00E911E5"/>
    <w:rsid w:val="00E96328"/>
    <w:rsid w:val="00EA1983"/>
    <w:rsid w:val="00EA336E"/>
    <w:rsid w:val="00EB3CFA"/>
    <w:rsid w:val="00EC5EC1"/>
    <w:rsid w:val="00EE12C2"/>
    <w:rsid w:val="00EE1562"/>
    <w:rsid w:val="00EE7458"/>
    <w:rsid w:val="00EF0F60"/>
    <w:rsid w:val="00EF66AF"/>
    <w:rsid w:val="00F0014B"/>
    <w:rsid w:val="00F02FDE"/>
    <w:rsid w:val="00F12F64"/>
    <w:rsid w:val="00F35E82"/>
    <w:rsid w:val="00F35EED"/>
    <w:rsid w:val="00F51F71"/>
    <w:rsid w:val="00F53574"/>
    <w:rsid w:val="00F6019F"/>
    <w:rsid w:val="00F72B55"/>
    <w:rsid w:val="00F826F0"/>
    <w:rsid w:val="00F86526"/>
    <w:rsid w:val="00F90724"/>
    <w:rsid w:val="00F96670"/>
    <w:rsid w:val="00F969E1"/>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3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6C56-8DCE-419B-A349-18F6F937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13717</Words>
  <Characters>78190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3</cp:revision>
  <cp:lastPrinted>2023-06-28T10:38:00Z</cp:lastPrinted>
  <dcterms:created xsi:type="dcterms:W3CDTF">2024-04-23T05:48:00Z</dcterms:created>
  <dcterms:modified xsi:type="dcterms:W3CDTF">2024-04-23T06:06:00Z</dcterms:modified>
</cp:coreProperties>
</file>