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5CF1566D"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4E3946" w:rsidRPr="004E3946">
        <w:rPr>
          <w:rFonts w:ascii="Times New Roman" w:hAnsi="Times New Roman"/>
          <w:b/>
          <w:sz w:val="24"/>
          <w:szCs w:val="24"/>
        </w:rPr>
        <w:t>ДК 021:2015:15540000-5: Сирні продукти</w:t>
      </w:r>
      <w:r w:rsidR="00972778">
        <w:rPr>
          <w:rFonts w:ascii="Times New Roman" w:hAnsi="Times New Roman"/>
          <w:b/>
          <w:sz w:val="24"/>
          <w:szCs w:val="24"/>
        </w:rPr>
        <w:t>,</w:t>
      </w:r>
      <w:r w:rsidR="004E3946">
        <w:rPr>
          <w:rFonts w:ascii="Times New Roman" w:hAnsi="Times New Roman"/>
          <w:b/>
          <w:sz w:val="24"/>
          <w:szCs w:val="24"/>
        </w:rPr>
        <w:t xml:space="preserve"> </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підставі, якого Постачальнику направляється претензійний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2.9.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r w:rsidRPr="00D16B2E">
        <w:t xml:space="preserve">Ціна цього договору становить </w:t>
      </w:r>
      <w:r w:rsidRPr="00D16B2E">
        <w:rPr>
          <w:b/>
        </w:rPr>
        <w:t>___________________________</w:t>
      </w:r>
      <w:r w:rsidRPr="00D16B2E">
        <w:rPr>
          <w:b/>
          <w:color w:val="000000"/>
          <w:spacing w:val="-1"/>
        </w:rPr>
        <w:t>(сума прописом</w:t>
      </w:r>
      <w:r w:rsidRPr="00D16B2E">
        <w:rPr>
          <w:b/>
          <w:i/>
        </w:rPr>
        <w:t xml:space="preserve">) </w:t>
      </w:r>
      <w:r w:rsidRPr="00D16B2E">
        <w:rPr>
          <w:b/>
        </w:rPr>
        <w:t>)грн. з ПДВ/або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01DD118"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00C574D3" w:rsidRPr="00C574D3">
        <w:rPr>
          <w:rFonts w:ascii="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C574D3">
        <w:rPr>
          <w:rFonts w:ascii="Times New Roman" w:hAnsi="Times New Roman"/>
          <w:sz w:val="24"/>
          <w:szCs w:val="24"/>
        </w:rPr>
        <w:t>:</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r w:rsidR="00C5022C" w:rsidRPr="00D16B2E">
        <w:rPr>
          <w:color w:val="000000"/>
        </w:rPr>
        <w:t>зміни умов у зв’язку із застосуванням положень частини шостої статті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Вимога (вимоги) Постачальника до Покупця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r w:rsidRPr="00D16B2E">
        <w:rPr>
          <w:b/>
        </w:rPr>
        <w:t>Постачальник має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6.4.1. Своєчасно та в повному обсязі отримувати плату за поставлені товари.</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6.4.2. На дострокову поставку товарів за письмовим погодженням Покупця.</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6.4.3. У разі невиконання зобов'язань Покупцем Постачальник має право достроково розірвати  цей Договір, повідомивши про це Покупця у строк протягом 15 днів.</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9F5237">
              <w:rPr>
                <w:rFonts w:ascii="Times New Roman" w:hAnsi="Times New Roman"/>
                <w:b/>
                <w:sz w:val="24"/>
                <w:szCs w:val="24"/>
              </w:rPr>
              <w:t xml:space="preserve"> </w:t>
            </w:r>
            <w:r w:rsidR="00D64A09">
              <w:rPr>
                <w:rFonts w:ascii="Times New Roman" w:hAnsi="Times New Roman"/>
                <w:b/>
                <w:sz w:val="24"/>
                <w:szCs w:val="24"/>
                <w:lang w:val="en-US"/>
              </w:rPr>
              <w:t>UA</w:t>
            </w:r>
            <w:r w:rsidR="00D64A09" w:rsidRPr="009F5237">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0DD5BDE3" w:rsidR="00C5022C" w:rsidRPr="00D16B2E" w:rsidRDefault="009F5237" w:rsidP="00A12522">
            <w:pPr>
              <w:widowControl w:val="0"/>
              <w:jc w:val="center"/>
              <w:rPr>
                <w:rFonts w:ascii="Times New Roman" w:hAnsi="Times New Roman"/>
                <w:bCs/>
                <w:sz w:val="24"/>
                <w:szCs w:val="24"/>
              </w:rPr>
            </w:pPr>
            <w:r w:rsidRPr="009F5237">
              <w:rPr>
                <w:rFonts w:ascii="Times New Roman" w:hAnsi="Times New Roman"/>
                <w:bCs/>
                <w:sz w:val="24"/>
                <w:szCs w:val="24"/>
              </w:rPr>
              <w:t>Бринза (жирністю не менше 45 %)</w:t>
            </w:r>
          </w:p>
        </w:tc>
        <w:tc>
          <w:tcPr>
            <w:tcW w:w="1136" w:type="dxa"/>
            <w:vAlign w:val="center"/>
          </w:tcPr>
          <w:p w14:paraId="390D5794" w14:textId="3855D70F" w:rsidR="00C5022C" w:rsidRPr="00D16B2E" w:rsidRDefault="009F523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502819C3" w:rsidR="00C5022C" w:rsidRPr="00D16B2E" w:rsidRDefault="009F523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50</w:t>
            </w:r>
            <w:bookmarkStart w:id="3" w:name="_GoBack"/>
            <w:bookmarkEnd w:id="3"/>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9096B"/>
    <w:rsid w:val="003B0711"/>
    <w:rsid w:val="004E3946"/>
    <w:rsid w:val="004F0E4A"/>
    <w:rsid w:val="005D6A43"/>
    <w:rsid w:val="006A4C66"/>
    <w:rsid w:val="007B396E"/>
    <w:rsid w:val="008055E7"/>
    <w:rsid w:val="00827792"/>
    <w:rsid w:val="00840235"/>
    <w:rsid w:val="00972778"/>
    <w:rsid w:val="009A14C9"/>
    <w:rsid w:val="009F5237"/>
    <w:rsid w:val="00A279DF"/>
    <w:rsid w:val="00AD6EFB"/>
    <w:rsid w:val="00C5022C"/>
    <w:rsid w:val="00C574D3"/>
    <w:rsid w:val="00D16B2E"/>
    <w:rsid w:val="00D6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3490</Words>
  <Characters>19899</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2023-08-30T08:03:00Z</cp:lastPrinted>
  <dcterms:created xsi:type="dcterms:W3CDTF">2023-01-12T05:17:00Z</dcterms:created>
  <dcterms:modified xsi:type="dcterms:W3CDTF">2024-01-03T09:58:00Z</dcterms:modified>
</cp:coreProperties>
</file>