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DD" w:rsidRPr="00733EEA" w:rsidRDefault="001F69DD" w:rsidP="001F69DD">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rsidR="001F69DD" w:rsidRDefault="001F69DD" w:rsidP="001F69DD">
      <w:pPr>
        <w:widowControl w:val="0"/>
        <w:autoSpaceDE w:val="0"/>
        <w:autoSpaceDN w:val="0"/>
        <w:adjustRightInd w:val="0"/>
        <w:spacing w:after="0" w:line="240" w:lineRule="auto"/>
        <w:jc w:val="center"/>
        <w:rPr>
          <w:rFonts w:ascii="Times New Roman" w:hAnsi="Times New Roman" w:cs="Times New Roman"/>
          <w:b/>
          <w:noProof/>
        </w:rPr>
      </w:pP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p>
    <w:p w:rsidR="001F69DD" w:rsidRPr="00F811F5" w:rsidRDefault="001F69DD" w:rsidP="001F69DD">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1F69DD" w:rsidRPr="00F811F5" w:rsidRDefault="001F69DD" w:rsidP="001F69DD">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rsidR="001F69DD" w:rsidRPr="00F811F5" w:rsidRDefault="001F69DD" w:rsidP="001F69DD">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rsidR="001F69DD" w:rsidRPr="00F811F5" w:rsidRDefault="001F69DD" w:rsidP="001F69DD">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hAnsi="Times New Roman"/>
          <w:noProof/>
          <w:color w:val="808080" w:themeColor="background1" w:themeShade="80"/>
        </w:rPr>
        <w:t>_______________________________________________________________</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1F69DD" w:rsidRPr="00F811F5" w:rsidRDefault="001F69DD" w:rsidP="001F69DD">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2.5. Залишковий термін придатності товарів на момент постачання повинен складати не менше 70% загального терміну їх зберігання або бути більшим 12 місяців. Поставка товару з меншим строком придатності допускається виключно за згодою Замовника.</w:t>
      </w:r>
    </w:p>
    <w:p w:rsidR="001F69D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rsidR="001F69DD" w:rsidRPr="00F811F5" w:rsidRDefault="001F69DD" w:rsidP="001F69DD">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rsidR="001F69DD" w:rsidRPr="00F811F5" w:rsidRDefault="001F69DD" w:rsidP="001F69DD">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lastRenderedPageBreak/>
        <w:t>3.5.5 погодження зміни ціни в договорі про закупівлю в бік зменшення (без зміни кількості (обсягу) та якості товарів);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9DD" w:rsidRPr="00F811F5" w:rsidRDefault="001F69DD" w:rsidP="001F69DD">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69DD" w:rsidRPr="00F811F5" w:rsidRDefault="001F69DD" w:rsidP="001F69DD">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1F69DD" w:rsidRPr="00F811F5" w:rsidRDefault="001F69DD" w:rsidP="001F69DD">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rsidR="001F69DD" w:rsidRPr="00F811F5" w:rsidRDefault="001F69DD" w:rsidP="001F69DD">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w:t>
      </w:r>
      <w:r w:rsidR="00515902" w:rsidRPr="00515902">
        <w:rPr>
          <w:rFonts w:ascii="Times New Roman" w:hAnsi="Times New Roman" w:cs="Times New Roman"/>
          <w:noProof/>
          <w:lang w:eastAsia="ru-RU"/>
        </w:rPr>
        <w:t xml:space="preserve"> </w:t>
      </w:r>
      <w:r w:rsidR="00515902" w:rsidRPr="00F811F5">
        <w:rPr>
          <w:rFonts w:ascii="Times New Roman" w:hAnsi="Times New Roman" w:cs="Times New Roman"/>
          <w:noProof/>
          <w:lang w:eastAsia="ru-RU"/>
        </w:rPr>
        <w:t>банківських</w:t>
      </w:r>
      <w:r w:rsidRPr="00F811F5">
        <w:rPr>
          <w:rFonts w:ascii="Times New Roman" w:hAnsi="Times New Roman" w:cs="Times New Roman"/>
          <w:noProof/>
          <w:lang w:eastAsia="ru-RU"/>
        </w:rPr>
        <w:t xml:space="preserve">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rsidR="001F69DD" w:rsidRPr="00AB6583" w:rsidRDefault="001F69DD" w:rsidP="001F69DD">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 Строк поставки товарів: до 31.12.202</w:t>
      </w:r>
      <w:r>
        <w:rPr>
          <w:rFonts w:ascii="Times New Roman" w:hAnsi="Times New Roman" w:cs="Times New Roman"/>
          <w:noProof/>
          <w:sz w:val="23"/>
          <w:szCs w:val="23"/>
        </w:rPr>
        <w:t>4</w:t>
      </w:r>
      <w:r w:rsidRPr="00AB6583">
        <w:rPr>
          <w:rFonts w:ascii="Times New Roman" w:hAnsi="Times New Roman" w:cs="Times New Roman"/>
          <w:noProof/>
          <w:sz w:val="23"/>
          <w:szCs w:val="23"/>
        </w:rPr>
        <w:t xml:space="preserve"> року. Доставка Товару проводиться </w:t>
      </w:r>
      <w:r>
        <w:rPr>
          <w:rFonts w:ascii="Times New Roman" w:hAnsi="Times New Roman" w:cs="Times New Roman"/>
          <w:noProof/>
          <w:sz w:val="23"/>
          <w:szCs w:val="23"/>
        </w:rPr>
        <w:t xml:space="preserve">партіями </w:t>
      </w:r>
      <w:r w:rsidRPr="00AB6583">
        <w:rPr>
          <w:rFonts w:ascii="Times New Roman" w:hAnsi="Times New Roman" w:cs="Times New Roman"/>
          <w:noProof/>
          <w:sz w:val="23"/>
          <w:szCs w:val="23"/>
        </w:rPr>
        <w:t>протягом 15 (п’ятнадцяти) календарних днів з моменту отримання заявки (в електронній, письмовій формі, або телефоном) від Замовника, та виключно протягом робочого часу установи.</w:t>
      </w:r>
    </w:p>
    <w:p w:rsidR="001F69DD" w:rsidRPr="00AB6583" w:rsidRDefault="001F69DD" w:rsidP="001F69DD">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5.2.  Місце  поставки  (передачі) товарів: __________________________________________</w:t>
      </w:r>
      <w:r>
        <w:rPr>
          <w:rFonts w:ascii="Times New Roman" w:hAnsi="Times New Roman" w:cs="Times New Roman"/>
          <w:noProof/>
          <w:sz w:val="23"/>
          <w:szCs w:val="23"/>
        </w:rPr>
        <w:t>________</w:t>
      </w:r>
      <w:r w:rsidRPr="00AB6583">
        <w:rPr>
          <w:rFonts w:ascii="Times New Roman" w:hAnsi="Times New Roman" w:cs="Times New Roman"/>
          <w:noProof/>
          <w:sz w:val="23"/>
          <w:szCs w:val="23"/>
        </w:rPr>
        <w:t xml:space="preserve">.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5.3. Розвантажувальні роботи проводяться за рахунок Постачальника  з доставкою в складське </w:t>
      </w:r>
      <w:r w:rsidRPr="005F314D">
        <w:rPr>
          <w:rFonts w:ascii="Times New Roman" w:hAnsi="Times New Roman" w:cs="Times New Roman"/>
          <w:noProof/>
          <w:szCs w:val="24"/>
        </w:rPr>
        <w:lastRenderedPageBreak/>
        <w:t>приміщення визначене в п.5.2. Договору, або згідно місця поставки визначеному в заявці Замовника.</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5.4. </w:t>
      </w:r>
      <w:r w:rsidRPr="00111DF5">
        <w:rPr>
          <w:rFonts w:ascii="Times New Roman" w:hAnsi="Times New Roman" w:cs="Times New Roman"/>
          <w:noProof/>
          <w:szCs w:val="24"/>
        </w:rPr>
        <w:t>Право власності на товар переходить від Постачальника до Замовника після його отримання та підписання сторонами видаткової накладної на товар.</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5.5. Право власності на товар переходить від Постачальника до Замовника у момент його передачі, що оформлюється видатковими накладними.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5.6. Всі ризики на товар переходять від Постачальника до Замовника у момент підписання сторонами видаткових накладних.</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5.7. Постачальник зобов’язаний разом з Товаром, що поставляється, надати наступні супровідні документи на кожну партію:</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видаткову накладну в 2 примірниках на Товар (в друкованому);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сертифікат якості чи інший документ затвердженого зразка який підтверджує його якість.</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5.8.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5.9.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Приймання-передача товару оформлюється видатковою накладною, яка підписується матеріально-відповідальними особами кожної із сторін.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5.10. У разі виявлення недостачі товару складається акт за підписами уповноважених осіб, які здійснювали приймання-передачу товару.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У разі виявлення товару, якість якого не відповідає вимогам цього Договору або документам, що засвідчують якість (п.5.1. цього Договору) уповноваженою особою Замовника складається акт про виявлені дефекти, який є підставою для повернення серії Постачальнику.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Про виявлені порушення цього договору щодо кількості та якості товару Замовник письмово повідомляє Постачальника.</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5.11.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5F314D">
        <w:rPr>
          <w:rFonts w:ascii="Times New Roman" w:hAnsi="Times New Roman" w:cs="Times New Roman"/>
          <w:noProof/>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п.5.9. цього Договору. </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rsidR="001F69DD" w:rsidRPr="00F811F5" w:rsidRDefault="001F69DD" w:rsidP="001F69DD">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ніжза 5 днів.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lastRenderedPageBreak/>
        <w:t>6.4.2. на дострокову поставку Товару за письмовим погодженням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 xml:space="preserve">обґрунтування необхідності внесення таких змін.Сторона, що отримала пропозицію щодо внесення змін до Договору, має протягом 10 (десяти) днів розглянути пропозицію та погодитись із нею чи </w:t>
      </w:r>
      <w:r w:rsidRPr="00F811F5">
        <w:rPr>
          <w:rFonts w:ascii="Times New Roman" w:hAnsi="Times New Roman" w:cs="Times New Roman"/>
          <w:noProof/>
          <w:lang w:eastAsia="ru-RU"/>
        </w:rPr>
        <w:lastRenderedPageBreak/>
        <w:t>надати аргументовану відмову.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rsidR="001F69DD" w:rsidRPr="00F811F5" w:rsidRDefault="001F69DD" w:rsidP="001F69DD">
      <w:pPr>
        <w:rPr>
          <w:rFonts w:ascii="Times New Roman" w:hAnsi="Times New Roman" w:cs="Times New Roman"/>
          <w:b/>
          <w:noProof/>
          <w:lang w:eastAsia="ru-RU"/>
        </w:rPr>
      </w:pPr>
    </w:p>
    <w:tbl>
      <w:tblPr>
        <w:tblW w:w="9214" w:type="dxa"/>
        <w:tblInd w:w="250" w:type="dxa"/>
        <w:tblLook w:val="01E0"/>
      </w:tblPr>
      <w:tblGrid>
        <w:gridCol w:w="4536"/>
        <w:gridCol w:w="4678"/>
      </w:tblGrid>
      <w:tr w:rsidR="001F69DD" w:rsidRPr="00F811F5" w:rsidTr="00660108">
        <w:tc>
          <w:tcPr>
            <w:tcW w:w="4536" w:type="dxa"/>
          </w:tcPr>
          <w:p w:rsidR="001F69DD" w:rsidRPr="00F811F5" w:rsidRDefault="001F69DD" w:rsidP="0066010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u w:val="single"/>
              </w:rPr>
              <w:t>ЗАМОВНИК</w:t>
            </w:r>
          </w:p>
          <w:p w:rsidR="001F69DD" w:rsidRPr="00F811F5" w:rsidRDefault="001F69DD" w:rsidP="00660108">
            <w:pPr>
              <w:widowControl w:val="0"/>
              <w:autoSpaceDE w:val="0"/>
              <w:autoSpaceDN w:val="0"/>
              <w:adjustRightInd w:val="0"/>
              <w:spacing w:after="0" w:line="240" w:lineRule="auto"/>
              <w:rPr>
                <w:rFonts w:ascii="Times New Roman" w:hAnsi="Times New Roman" w:cs="Times New Roman"/>
                <w:noProof/>
              </w:rPr>
            </w:pPr>
          </w:p>
        </w:tc>
        <w:tc>
          <w:tcPr>
            <w:tcW w:w="4678" w:type="dxa"/>
          </w:tcPr>
          <w:p w:rsidR="001F69DD" w:rsidRPr="00F811F5" w:rsidRDefault="001F69DD" w:rsidP="00660108">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u w:val="single"/>
              </w:rPr>
              <w:t xml:space="preserve">ПОСТАЧАЛЬНИК: </w:t>
            </w:r>
          </w:p>
          <w:p w:rsidR="001F69DD" w:rsidRPr="00F811F5" w:rsidRDefault="001F69DD" w:rsidP="00660108">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1F69DD" w:rsidRPr="00F25259" w:rsidRDefault="001F69DD" w:rsidP="001F69DD">
      <w:pPr>
        <w:rPr>
          <w:rFonts w:ascii="Times New Roman" w:hAnsi="Times New Roman" w:cs="Times New Roman"/>
          <w:b/>
          <w:noProof/>
          <w:lang w:eastAsia="ru-RU"/>
        </w:rPr>
      </w:pPr>
    </w:p>
    <w:p w:rsidR="001F69DD" w:rsidRPr="00F25259" w:rsidRDefault="001F69DD" w:rsidP="001F69DD">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1F69DD" w:rsidRPr="00C631D9" w:rsidRDefault="001F69DD" w:rsidP="001F69DD">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rsidR="001F69DD" w:rsidRPr="00C631D9"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rsidR="001F69DD"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590"/>
        <w:gridCol w:w="1134"/>
        <w:gridCol w:w="2552"/>
        <w:gridCol w:w="850"/>
        <w:gridCol w:w="992"/>
        <w:gridCol w:w="1134"/>
        <w:gridCol w:w="1276"/>
      </w:tblGrid>
      <w:tr w:rsidR="001F69DD" w:rsidRPr="005F314D" w:rsidTr="00660108">
        <w:trPr>
          <w:trHeight w:val="723"/>
        </w:trPr>
        <w:tc>
          <w:tcPr>
            <w:tcW w:w="462" w:type="dxa"/>
          </w:tcPr>
          <w:p w:rsidR="001F69DD" w:rsidRPr="00B67F45" w:rsidRDefault="001F69DD" w:rsidP="00660108">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rsidR="001F69DD" w:rsidRPr="00B67F45" w:rsidRDefault="001F69DD" w:rsidP="00660108">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rsidR="001F69DD" w:rsidRPr="005F314D" w:rsidRDefault="001F69DD" w:rsidP="00660108">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rsidR="001F69DD" w:rsidRPr="00B67F45" w:rsidRDefault="001F69DD" w:rsidP="00660108">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rsidR="001F69DD" w:rsidRPr="00B67F45" w:rsidRDefault="001F69DD" w:rsidP="00660108">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rsidR="001F69DD" w:rsidRPr="00B67F45" w:rsidRDefault="001F69DD" w:rsidP="00660108">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rsidR="001F69DD" w:rsidRPr="005F314D" w:rsidRDefault="001F69DD" w:rsidP="00660108">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rsidR="001F69DD" w:rsidRPr="005F314D" w:rsidRDefault="001F69DD" w:rsidP="00660108">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1F69DD" w:rsidRPr="005F314D" w:rsidTr="00660108">
        <w:trPr>
          <w:trHeight w:val="417"/>
        </w:trPr>
        <w:tc>
          <w:tcPr>
            <w:tcW w:w="462"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r>
      <w:tr w:rsidR="001F69DD" w:rsidRPr="005F314D" w:rsidTr="00660108">
        <w:trPr>
          <w:trHeight w:val="417"/>
        </w:trPr>
        <w:tc>
          <w:tcPr>
            <w:tcW w:w="9990" w:type="dxa"/>
            <w:gridSpan w:val="8"/>
            <w:tcBorders>
              <w:top w:val="single" w:sz="4" w:space="0" w:color="auto"/>
              <w:left w:val="single" w:sz="4" w:space="0" w:color="auto"/>
              <w:bottom w:val="single" w:sz="4" w:space="0" w:color="auto"/>
              <w:right w:val="single" w:sz="4" w:space="0" w:color="auto"/>
            </w:tcBorders>
          </w:tcPr>
          <w:p w:rsidR="001F69DD" w:rsidRPr="005F314D" w:rsidRDefault="001F69DD" w:rsidP="00660108">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Pr="005F314D">
              <w:rPr>
                <w:rFonts w:ascii="Times New Roman" w:hAnsi="Times New Roman" w:cs="Times New Roman"/>
                <w:noProof/>
              </w:rPr>
              <w:t xml:space="preserve">:                                        </w:t>
            </w:r>
          </w:p>
          <w:p w:rsidR="001F69DD" w:rsidRPr="00AF780F" w:rsidRDefault="001F69DD" w:rsidP="00660108">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p>
        </w:tc>
      </w:tr>
    </w:tbl>
    <w:p w:rsidR="001F69DD"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p>
    <w:p w:rsidR="001F69DD" w:rsidRPr="005F314D" w:rsidRDefault="001F69DD" w:rsidP="001F69DD">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1F69DD" w:rsidRPr="005F314D" w:rsidTr="00660108">
        <w:tc>
          <w:tcPr>
            <w:tcW w:w="4536" w:type="dxa"/>
          </w:tcPr>
          <w:p w:rsidR="001F69DD" w:rsidRPr="00C631D9" w:rsidRDefault="001F69DD" w:rsidP="00660108">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u w:val="single"/>
              </w:rPr>
              <w:t>ЗАМОВНИК</w:t>
            </w:r>
          </w:p>
          <w:p w:rsidR="001F69DD" w:rsidRPr="00C631D9" w:rsidRDefault="001F69DD" w:rsidP="00660108">
            <w:pPr>
              <w:spacing w:after="0" w:line="240" w:lineRule="auto"/>
              <w:ind w:left="-49"/>
              <w:rPr>
                <w:rFonts w:ascii="Times New Roman" w:hAnsi="Times New Roman" w:cs="Times New Roman"/>
                <w:b/>
                <w:noProof/>
                <w:sz w:val="24"/>
                <w:szCs w:val="24"/>
              </w:rPr>
            </w:pPr>
          </w:p>
          <w:p w:rsidR="001F69DD" w:rsidRPr="00C631D9" w:rsidRDefault="001F69DD" w:rsidP="00660108">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1F69DD" w:rsidRPr="00C631D9" w:rsidRDefault="001F69DD" w:rsidP="00660108">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u w:val="single"/>
              </w:rPr>
              <w:t xml:space="preserve">ПОСТАЧАЛЬНИК: </w:t>
            </w:r>
          </w:p>
          <w:p w:rsidR="001F69DD" w:rsidRPr="00C631D9" w:rsidRDefault="001F69DD" w:rsidP="00660108">
            <w:pPr>
              <w:spacing w:after="0" w:line="240" w:lineRule="auto"/>
              <w:rPr>
                <w:rFonts w:ascii="Times New Roman" w:hAnsi="Times New Roman" w:cs="Times New Roman"/>
                <w:b/>
                <w:noProof/>
                <w:sz w:val="24"/>
                <w:szCs w:val="24"/>
              </w:rPr>
            </w:pPr>
          </w:p>
          <w:p w:rsidR="001F69DD" w:rsidRPr="00C631D9" w:rsidRDefault="001F69DD" w:rsidP="00660108">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bl>
    <w:p w:rsidR="001F69DD" w:rsidRPr="005F314D" w:rsidRDefault="001F69DD" w:rsidP="001F69DD">
      <w:pPr>
        <w:spacing w:line="240" w:lineRule="auto"/>
        <w:ind w:firstLine="709"/>
        <w:jc w:val="both"/>
        <w:rPr>
          <w:rFonts w:ascii="Times New Roman" w:eastAsia="Times New Roman" w:hAnsi="Times New Roman" w:cs="Times New Roman"/>
          <w:i/>
          <w:noProof/>
        </w:rPr>
      </w:pPr>
    </w:p>
    <w:p w:rsidR="00733EEA" w:rsidRPr="001F69DD" w:rsidRDefault="00733EEA" w:rsidP="001F69DD">
      <w:bookmarkStart w:id="0" w:name="_GoBack"/>
      <w:bookmarkEnd w:id="0"/>
    </w:p>
    <w:sectPr w:rsidR="00733EEA" w:rsidRPr="001F69DD"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1F69DD"/>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55F2"/>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5902"/>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5A60"/>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EF62A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6F5A60"/>
    <w:pPr>
      <w:keepNext/>
      <w:keepLines/>
      <w:spacing w:before="480" w:after="120"/>
      <w:outlineLvl w:val="0"/>
    </w:pPr>
    <w:rPr>
      <w:b/>
      <w:sz w:val="48"/>
      <w:szCs w:val="48"/>
    </w:rPr>
  </w:style>
  <w:style w:type="paragraph" w:styleId="2">
    <w:name w:val="heading 2"/>
    <w:basedOn w:val="a"/>
    <w:next w:val="a"/>
    <w:rsid w:val="006F5A60"/>
    <w:pPr>
      <w:keepNext/>
      <w:keepLines/>
      <w:spacing w:before="360" w:after="80"/>
      <w:outlineLvl w:val="1"/>
    </w:pPr>
    <w:rPr>
      <w:b/>
      <w:sz w:val="36"/>
      <w:szCs w:val="36"/>
    </w:rPr>
  </w:style>
  <w:style w:type="paragraph" w:styleId="3">
    <w:name w:val="heading 3"/>
    <w:basedOn w:val="a"/>
    <w:next w:val="a"/>
    <w:rsid w:val="006F5A60"/>
    <w:pPr>
      <w:keepNext/>
      <w:keepLines/>
      <w:spacing w:before="280" w:after="80"/>
      <w:outlineLvl w:val="2"/>
    </w:pPr>
    <w:rPr>
      <w:b/>
      <w:sz w:val="28"/>
      <w:szCs w:val="28"/>
    </w:rPr>
  </w:style>
  <w:style w:type="paragraph" w:styleId="4">
    <w:name w:val="heading 4"/>
    <w:basedOn w:val="a"/>
    <w:next w:val="a"/>
    <w:rsid w:val="006F5A60"/>
    <w:pPr>
      <w:keepNext/>
      <w:keepLines/>
      <w:spacing w:before="240" w:after="40"/>
      <w:outlineLvl w:val="3"/>
    </w:pPr>
    <w:rPr>
      <w:b/>
      <w:sz w:val="24"/>
      <w:szCs w:val="24"/>
    </w:rPr>
  </w:style>
  <w:style w:type="paragraph" w:styleId="5">
    <w:name w:val="heading 5"/>
    <w:basedOn w:val="a"/>
    <w:next w:val="a"/>
    <w:rsid w:val="006F5A60"/>
    <w:pPr>
      <w:keepNext/>
      <w:keepLines/>
      <w:spacing w:before="220" w:after="40"/>
      <w:outlineLvl w:val="4"/>
    </w:pPr>
    <w:rPr>
      <w:b/>
    </w:rPr>
  </w:style>
  <w:style w:type="paragraph" w:styleId="6">
    <w:name w:val="heading 6"/>
    <w:basedOn w:val="a"/>
    <w:next w:val="a"/>
    <w:rsid w:val="006F5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5A60"/>
    <w:tblPr>
      <w:tblCellMar>
        <w:top w:w="0" w:type="dxa"/>
        <w:left w:w="0" w:type="dxa"/>
        <w:bottom w:w="0" w:type="dxa"/>
        <w:right w:w="0" w:type="dxa"/>
      </w:tblCellMar>
    </w:tblPr>
  </w:style>
  <w:style w:type="paragraph" w:styleId="a3">
    <w:name w:val="Title"/>
    <w:basedOn w:val="a"/>
    <w:next w:val="a"/>
    <w:rsid w:val="006F5A60"/>
    <w:pPr>
      <w:keepNext/>
      <w:keepLines/>
      <w:spacing w:before="480" w:after="120"/>
    </w:pPr>
    <w:rPr>
      <w:b/>
      <w:sz w:val="72"/>
      <w:szCs w:val="72"/>
    </w:rPr>
  </w:style>
  <w:style w:type="table" w:customStyle="1" w:styleId="TableNormal0">
    <w:name w:val="Table Normal"/>
    <w:rsid w:val="006F5A60"/>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6F5A6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6F5A6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6F5A6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762B830E-E99B-4AA9-BB70-8D078CD5AA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3285</Words>
  <Characters>18726</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2024-03-15T18:19:00Z</dcterms:created>
  <dcterms:modified xsi:type="dcterms:W3CDTF">2024-03-28T12:09:00Z</dcterms:modified>
</cp:coreProperties>
</file>