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00" w:rsidRPr="00305000" w:rsidRDefault="00305000" w:rsidP="00305000">
      <w:pPr>
        <w:widowControl w:val="0"/>
        <w:ind w:firstLine="567"/>
        <w:jc w:val="right"/>
        <w:rPr>
          <w:rFonts w:ascii="Times New Roman" w:hAnsi="Times New Roman" w:cs="Times New Roman"/>
          <w:b/>
          <w:noProof/>
        </w:rPr>
      </w:pPr>
      <w:r w:rsidRPr="00305000">
        <w:rPr>
          <w:rFonts w:ascii="Times New Roman" w:hAnsi="Times New Roman" w:cs="Times New Roman"/>
          <w:b/>
          <w:noProof/>
        </w:rPr>
        <w:t>Додаток 2</w:t>
      </w:r>
    </w:p>
    <w:p w:rsidR="00305000" w:rsidRPr="00305000" w:rsidRDefault="00305000" w:rsidP="00305000">
      <w:pPr>
        <w:ind w:left="-709" w:firstLine="1260"/>
        <w:jc w:val="center"/>
        <w:rPr>
          <w:rFonts w:ascii="Times New Roman" w:hAnsi="Times New Roman"/>
          <w:b/>
          <w:bCs/>
          <w:noProof/>
          <w:color w:val="000000" w:themeColor="text1"/>
        </w:rPr>
      </w:pPr>
      <w:r w:rsidRPr="00305000">
        <w:rPr>
          <w:rFonts w:ascii="Times New Roman" w:eastAsia="Times New Roman" w:hAnsi="Times New Roman"/>
          <w:b/>
          <w:noProof/>
          <w:color w:val="000000" w:themeColor="text1"/>
          <w:lang w:eastAsia="ru-RU"/>
        </w:rPr>
        <w:t>Інформація про необхідні технічні, якісні та кількісні характеристики предмета закупівлі, а також відповідну технічна специфікація</w:t>
      </w:r>
    </w:p>
    <w:p w:rsidR="00305000" w:rsidRPr="00305000" w:rsidRDefault="00305000" w:rsidP="00305000">
      <w:pPr>
        <w:spacing w:line="276" w:lineRule="auto"/>
        <w:jc w:val="center"/>
        <w:rPr>
          <w:rFonts w:ascii="Times New Roman" w:hAnsi="Times New Roman" w:cs="Times New Roman"/>
          <w:b/>
          <w:bCs/>
          <w:noProof/>
        </w:rPr>
      </w:pPr>
      <w:r w:rsidRPr="00305000">
        <w:rPr>
          <w:rFonts w:ascii="Times New Roman" w:hAnsi="Times New Roman" w:cs="Times New Roman"/>
          <w:b/>
          <w:bCs/>
          <w:noProof/>
        </w:rPr>
        <w:t>ЗАГАЛЬНІ ВИМОГИ:</w:t>
      </w:r>
    </w:p>
    <w:p w:rsidR="00305000" w:rsidRPr="00305000" w:rsidRDefault="00305000" w:rsidP="00305000">
      <w:pPr>
        <w:spacing w:line="276" w:lineRule="auto"/>
        <w:ind w:firstLine="708"/>
        <w:jc w:val="both"/>
        <w:rPr>
          <w:rFonts w:ascii="Times New Roman" w:hAnsi="Times New Roman" w:cs="Times New Roman"/>
          <w:bCs/>
          <w:noProof/>
        </w:rPr>
      </w:pPr>
      <w:r w:rsidRPr="00305000">
        <w:rPr>
          <w:rFonts w:ascii="Times New Roman" w:hAnsi="Times New Roman" w:cs="Times New Roman"/>
          <w:noProof/>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305000">
        <w:rPr>
          <w:rFonts w:ascii="Times New Roman" w:hAnsi="Times New Roman" w:cs="Times New Roman"/>
          <w:bCs/>
          <w:noProof/>
        </w:rPr>
        <w:t>.</w:t>
      </w:r>
    </w:p>
    <w:p w:rsidR="00305000" w:rsidRPr="00305000" w:rsidRDefault="00305000" w:rsidP="00142C28">
      <w:pPr>
        <w:spacing w:line="276" w:lineRule="auto"/>
        <w:ind w:firstLine="708"/>
        <w:jc w:val="both"/>
        <w:rPr>
          <w:rFonts w:ascii="Times New Roman" w:hAnsi="Times New Roman" w:cs="Times New Roman"/>
          <w:noProof/>
          <w:color w:val="1A1A1A"/>
        </w:rPr>
      </w:pPr>
      <w:r w:rsidRPr="00305000">
        <w:rPr>
          <w:rFonts w:ascii="Times New Roman" w:hAnsi="Times New Roman" w:cs="Times New Roman"/>
          <w:noProof/>
        </w:rPr>
        <w:t xml:space="preserve">2. Якісні вимоги до предмету закупівлі: Якість товарів повинна відповідати вимогам, встановленим до нього загальнообов’язковими на території України нормами і правилами, і підтверджуватися при постачанні сертифікатом якості, відповідності, висновком санітарно-гігієнічної експертизи, тощо. </w:t>
      </w:r>
      <w:r w:rsidRPr="00305000">
        <w:rPr>
          <w:rFonts w:ascii="Times New Roman" w:hAnsi="Times New Roman" w:cs="Times New Roman"/>
          <w:noProof/>
          <w:color w:val="1A1A1A"/>
        </w:rPr>
        <w:t xml:space="preserve">Запропоновані товари повинні бути дозволені для введення в обіг та/або експлуатацію (застосування) відповідно до законодавства. </w:t>
      </w:r>
    </w:p>
    <w:p w:rsidR="00305000" w:rsidRPr="00305000" w:rsidRDefault="00305000" w:rsidP="00305000">
      <w:pPr>
        <w:spacing w:line="276" w:lineRule="auto"/>
        <w:rPr>
          <w:rFonts w:ascii="Times New Roman" w:hAnsi="Times New Roman" w:cs="Times New Roman"/>
          <w:noProof/>
          <w:color w:val="1A1A1A"/>
        </w:rPr>
      </w:pPr>
      <w:r w:rsidRPr="00305000">
        <w:rPr>
          <w:rFonts w:ascii="Times New Roman" w:hAnsi="Times New Roman" w:cs="Times New Roman"/>
          <w:noProof/>
          <w:color w:val="1A1A1A"/>
        </w:rPr>
        <w:tab/>
        <w:t xml:space="preserve"> Ці вимога засвідчується:</w:t>
      </w:r>
    </w:p>
    <w:p w:rsidR="00305000" w:rsidRPr="00305000" w:rsidRDefault="00305000" w:rsidP="00305000">
      <w:pPr>
        <w:spacing w:line="276" w:lineRule="auto"/>
        <w:ind w:firstLine="284"/>
        <w:jc w:val="both"/>
        <w:rPr>
          <w:rFonts w:ascii="Times New Roman" w:hAnsi="Times New Roman" w:cs="Times New Roman"/>
          <w:noProof/>
          <w:color w:val="1A1A1A"/>
        </w:rPr>
      </w:pPr>
      <w:r w:rsidRPr="00305000">
        <w:rPr>
          <w:rFonts w:ascii="Times New Roman" w:hAnsi="Times New Roman" w:cs="Times New Roman"/>
          <w:noProof/>
          <w:color w:val="1A1A1A"/>
        </w:rPr>
        <w:t xml:space="preserve">- гарантійним листом про надання під час поставки копій </w:t>
      </w:r>
      <w:r w:rsidRPr="00305000">
        <w:rPr>
          <w:rFonts w:ascii="Times New Roman" w:eastAsia="Times New Roman" w:hAnsi="Times New Roman" w:cs="Times New Roman"/>
          <w:noProof/>
          <w:color w:val="000000"/>
        </w:rPr>
        <w:t>Сертифікатів відповідності та/або Декларацій про відповідність,</w:t>
      </w:r>
      <w:r w:rsidRPr="00305000">
        <w:rPr>
          <w:rFonts w:ascii="Times New Roman" w:hAnsi="Times New Roman" w:cs="Times New Roman"/>
          <w:noProof/>
          <w:color w:val="1A1A1A"/>
        </w:rPr>
        <w:t xml:space="preserve"> що підтверджують 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затвердженого постановами КМУ №753, №754, №755 від 02.10.2013, у разі якщо виріб підлягає проходження процедури оцінки відповідності. Якщо товар не підлягає проходження процедури оцінки відповідності, необхідно надати лист пояснення з посиланням на нормативно-правові акти та обґрунтуванням ненадання Сертифікату відповідності та/або Декларації про відповідність.</w:t>
      </w:r>
    </w:p>
    <w:p w:rsidR="00305000" w:rsidRPr="00305000" w:rsidRDefault="00305000" w:rsidP="00305000">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Термін придатності Товару на дату його поставки повинен бути не менше 70 % від встановленого виробником для даного виду продукції терміну придатності</w:t>
      </w:r>
      <w:r w:rsidRPr="00305000">
        <w:rPr>
          <w:rFonts w:ascii="Times New Roman" w:hAnsi="Times New Roman" w:cs="Times New Roman"/>
          <w:noProof/>
          <w:color w:val="1A1A1A"/>
          <w:spacing w:val="-4"/>
        </w:rPr>
        <w:t xml:space="preserve"> (надати гарантійний лист).</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Постачальник не має права поставляти Товар з наявністю дефектів. Учасник повинен забезпечувати належні умови зберігання та транспортування Товару.</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3. Учасник повинен надати на товар, що пропонується інформаційні матеріали: каталоги, та/або буклети, та/або копії інструкцій по застосуванню, та/або копії технічних паспортів, та/або інші документи, тощо українською мовою, при постачанні разом з товаром (учасник повинен надати гарантійний лист про надання інформаційних матеріалів на товар при постачанні разом з товаром).</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rPr>
        <w:t xml:space="preserve">4. </w:t>
      </w:r>
      <w:r w:rsidRPr="00305000">
        <w:rPr>
          <w:rFonts w:ascii="Times New Roman" w:hAnsi="Times New Roman" w:cs="Times New Roman"/>
          <w:bCs/>
          <w:noProof/>
          <w:szCs w:val="24"/>
        </w:rPr>
        <w:t>Учасник в складі тендерної пропозиції повинен надати листи від виробників або їх офіційних представників</w:t>
      </w:r>
      <w:r w:rsidRPr="00305000">
        <w:rPr>
          <w:rFonts w:ascii="Times New Roman" w:hAnsi="Times New Roman" w:cs="Times New Roman"/>
          <w:bCs/>
          <w:noProof/>
        </w:rPr>
        <w:t xml:space="preserve"> на території України</w:t>
      </w:r>
      <w:r w:rsidRPr="00305000">
        <w:rPr>
          <w:rFonts w:ascii="Times New Roman" w:hAnsi="Times New Roman" w:cs="Times New Roman"/>
          <w:bCs/>
          <w:noProof/>
          <w:szCs w:val="24"/>
        </w:rPr>
        <w:t xml:space="preserve">, якими підтверджується можливість </w:t>
      </w:r>
      <w:r w:rsidRPr="00305000">
        <w:rPr>
          <w:rFonts w:ascii="Times New Roman" w:hAnsi="Times New Roman" w:cs="Times New Roman"/>
          <w:bCs/>
          <w:noProof/>
        </w:rPr>
        <w:t xml:space="preserve">своєчасної </w:t>
      </w:r>
      <w:r w:rsidRPr="00305000">
        <w:rPr>
          <w:rFonts w:ascii="Times New Roman" w:hAnsi="Times New Roman" w:cs="Times New Roman"/>
          <w:bCs/>
          <w:noProof/>
          <w:szCs w:val="24"/>
        </w:rPr>
        <w:t xml:space="preserve">поставки запропонованих </w:t>
      </w:r>
      <w:r w:rsidRPr="00305000">
        <w:rPr>
          <w:rFonts w:ascii="Times New Roman" w:hAnsi="Times New Roman" w:cs="Times New Roman"/>
          <w:bCs/>
          <w:noProof/>
        </w:rPr>
        <w:t xml:space="preserve">реагентів до автоматичного біохімічного аналізатора </w:t>
      </w:r>
      <w:r w:rsidRPr="00305000">
        <w:rPr>
          <w:rFonts w:ascii="Times New Roman" w:hAnsi="Times New Roman" w:cs="Times New Roman"/>
          <w:bCs/>
          <w:noProof/>
          <w:sz w:val="16"/>
        </w:rPr>
        <w:t>BIOELAB ES-200</w:t>
      </w:r>
      <w:r w:rsidRPr="00305000">
        <w:rPr>
          <w:rFonts w:ascii="Times New Roman" w:hAnsi="Times New Roman" w:cs="Times New Roman"/>
          <w:bCs/>
          <w:noProof/>
        </w:rPr>
        <w:t xml:space="preserve">, реагентів до автоматичного аналізатора  газів крові та електролітів </w:t>
      </w:r>
      <w:r w:rsidRPr="00305000">
        <w:rPr>
          <w:rFonts w:ascii="Times New Roman" w:hAnsi="Times New Roman" w:cs="Times New Roman"/>
          <w:bCs/>
          <w:noProof/>
          <w:sz w:val="18"/>
        </w:rPr>
        <w:t>EasyStat</w:t>
      </w:r>
      <w:r w:rsidRPr="00305000">
        <w:rPr>
          <w:rFonts w:ascii="Times New Roman" w:hAnsi="Times New Roman" w:cs="Times New Roman"/>
          <w:bCs/>
          <w:noProof/>
          <w:szCs w:val="24"/>
        </w:rPr>
        <w:t xml:space="preserve">, </w:t>
      </w:r>
      <w:r w:rsidRPr="00305000">
        <w:rPr>
          <w:rFonts w:ascii="Times New Roman" w:hAnsi="Times New Roman" w:cs="Times New Roman"/>
          <w:bCs/>
          <w:noProof/>
        </w:rPr>
        <w:t xml:space="preserve">реагентів до автоматичного аналізатора серії </w:t>
      </w:r>
      <w:r w:rsidRPr="00305000">
        <w:rPr>
          <w:rFonts w:ascii="Times New Roman" w:hAnsi="Times New Roman" w:cs="Times New Roman"/>
          <w:bCs/>
          <w:noProof/>
          <w:sz w:val="18"/>
        </w:rPr>
        <w:t>А1 Hipro</w:t>
      </w:r>
      <w:r w:rsidRPr="00305000">
        <w:rPr>
          <w:rFonts w:ascii="Times New Roman" w:hAnsi="Times New Roman" w:cs="Times New Roman"/>
          <w:bCs/>
          <w:noProof/>
          <w:szCs w:val="24"/>
        </w:rPr>
        <w:t xml:space="preserve">, тест-смужок для роботи на сечовому аналізаторі </w:t>
      </w:r>
      <w:r w:rsidRPr="00305000">
        <w:rPr>
          <w:rFonts w:ascii="Times New Roman" w:hAnsi="Times New Roman" w:cs="Times New Roman"/>
          <w:bCs/>
          <w:noProof/>
          <w:sz w:val="18"/>
          <w:szCs w:val="24"/>
        </w:rPr>
        <w:t xml:space="preserve">Laura Smart </w:t>
      </w:r>
      <w:r w:rsidRPr="00305000">
        <w:rPr>
          <w:rFonts w:ascii="Times New Roman" w:hAnsi="Times New Roman" w:cs="Times New Roman"/>
          <w:bCs/>
          <w:noProof/>
          <w:szCs w:val="24"/>
        </w:rPr>
        <w:t>які є складовою частиною предмету закупівлі цих торгів та пропонуються учасником</w:t>
      </w:r>
      <w:r w:rsidRPr="00305000">
        <w:rPr>
          <w:rFonts w:ascii="Times New Roman" w:hAnsi="Times New Roman" w:cs="Times New Roman"/>
          <w:bCs/>
          <w:noProof/>
        </w:rPr>
        <w:t xml:space="preserve"> із зазначенням: повної назви учасника, назви предмету закупівлі згідно оголошення та номеру ID закупівлі.</w:t>
      </w:r>
    </w:p>
    <w:p w:rsidR="00305000" w:rsidRPr="00305000" w:rsidRDefault="00305000" w:rsidP="00305000">
      <w:pPr>
        <w:spacing w:line="276" w:lineRule="auto"/>
        <w:ind w:firstLine="709"/>
        <w:jc w:val="both"/>
        <w:rPr>
          <w:rFonts w:ascii="Times New Roman" w:hAnsi="Times New Roman" w:cs="Times New Roman"/>
          <w:noProof/>
          <w:color w:val="1A1A1A"/>
          <w:spacing w:val="-4"/>
        </w:rPr>
      </w:pPr>
      <w:r w:rsidRPr="00305000">
        <w:rPr>
          <w:rFonts w:ascii="Times New Roman" w:hAnsi="Times New Roman" w:cs="Times New Roman"/>
          <w:noProof/>
        </w:rPr>
        <w:t xml:space="preserve">5. </w:t>
      </w:r>
      <w:r w:rsidRPr="00305000">
        <w:rPr>
          <w:rFonts w:ascii="Times New Roman" w:hAnsi="Times New Roman" w:cs="Times New Roman"/>
          <w:noProof/>
          <w:color w:val="1A1A1A"/>
        </w:rPr>
        <w:t xml:space="preserve">У разі необхідності Замовник має право вимагати надання по одному </w:t>
      </w:r>
      <w:r w:rsidRPr="00305000">
        <w:rPr>
          <w:rFonts w:ascii="Times New Roman" w:hAnsi="Times New Roman" w:cs="Times New Roman"/>
          <w:noProof/>
          <w:color w:val="1A1A1A"/>
          <w:spacing w:val="-4"/>
        </w:rPr>
        <w:t>зразку товару, що пропонується до постачання (надати гарантійний лист).</w:t>
      </w:r>
    </w:p>
    <w:p w:rsidR="00305000" w:rsidRPr="00305000" w:rsidRDefault="00305000" w:rsidP="00305000">
      <w:pPr>
        <w:spacing w:line="276" w:lineRule="auto"/>
        <w:ind w:firstLine="709"/>
        <w:jc w:val="both"/>
        <w:rPr>
          <w:rFonts w:ascii="Times New Roman" w:hAnsi="Times New Roman" w:cs="Times New Roman"/>
          <w:noProof/>
          <w:color w:val="1A1A1A"/>
        </w:rPr>
      </w:pPr>
      <w:r w:rsidRPr="00305000">
        <w:rPr>
          <w:rFonts w:ascii="Times New Roman" w:hAnsi="Times New Roman" w:cs="Times New Roman"/>
          <w:noProof/>
        </w:rPr>
        <w:t>6.</w:t>
      </w:r>
      <w:r w:rsidRPr="00305000">
        <w:rPr>
          <w:rFonts w:ascii="Times New Roman" w:hAnsi="Times New Roman" w:cs="Times New Roman"/>
          <w:noProof/>
          <w:color w:val="1A1A1A"/>
        </w:rPr>
        <w:t xml:space="preserve">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Поставка товару здійснюється за рахунок Постачальника за адресою Замовника.</w:t>
      </w:r>
    </w:p>
    <w:p w:rsidR="00305000" w:rsidRPr="00305000" w:rsidRDefault="00305000" w:rsidP="00305000">
      <w:pPr>
        <w:spacing w:line="276" w:lineRule="auto"/>
        <w:ind w:firstLine="709"/>
        <w:jc w:val="both"/>
        <w:rPr>
          <w:rFonts w:ascii="Times New Roman" w:hAnsi="Times New Roman" w:cs="Times New Roman"/>
          <w:noProof/>
        </w:rPr>
      </w:pPr>
      <w:r w:rsidRPr="00305000">
        <w:rPr>
          <w:rFonts w:ascii="Times New Roman" w:hAnsi="Times New Roman" w:cs="Times New Roman"/>
          <w:noProof/>
          <w:color w:val="1A1A1A"/>
          <w:spacing w:val="-4"/>
        </w:rPr>
        <w:t xml:space="preserve">7. </w:t>
      </w:r>
      <w:r w:rsidRPr="00305000">
        <w:rPr>
          <w:rFonts w:ascii="Times New Roman" w:hAnsi="Times New Roman" w:cs="Times New Roman"/>
          <w:noProof/>
        </w:rPr>
        <w:t>Постачальник має надати з</w:t>
      </w:r>
      <w:r w:rsidRPr="00305000">
        <w:rPr>
          <w:rFonts w:ascii="Times New Roman" w:eastAsia="Times New Roman" w:hAnsi="Times New Roman" w:cs="Times New Roman"/>
          <w:bCs/>
          <w:noProof/>
        </w:rPr>
        <w:t xml:space="preserve">авірену належним чином копію ліцензії, дозволу, якщо </w:t>
      </w:r>
      <w:r w:rsidRPr="00305000">
        <w:rPr>
          <w:rFonts w:ascii="Times New Roman" w:hAnsi="Times New Roman" w:cs="Times New Roman"/>
          <w:noProof/>
        </w:rPr>
        <w:t>реалізація товару, що закуповується в рамках цих торгів потребує наявності такої ліцензії згідно чинного законодавства.</w:t>
      </w:r>
    </w:p>
    <w:p w:rsidR="00305000" w:rsidRPr="00305000" w:rsidRDefault="00305000" w:rsidP="00305000">
      <w:pPr>
        <w:spacing w:line="276" w:lineRule="auto"/>
        <w:ind w:firstLine="709"/>
        <w:jc w:val="both"/>
        <w:rPr>
          <w:rFonts w:ascii="Times New Roman" w:eastAsia="Times New Roman" w:hAnsi="Times New Roman" w:cs="Times New Roman"/>
          <w:bCs/>
          <w:noProof/>
        </w:rPr>
      </w:pPr>
      <w:r w:rsidRPr="00305000">
        <w:rPr>
          <w:rFonts w:ascii="Times New Roman" w:eastAsia="Times New Roman" w:hAnsi="Times New Roman" w:cs="Times New Roman"/>
          <w:noProof/>
        </w:rPr>
        <w:lastRenderedPageBreak/>
        <w:t>8</w:t>
      </w:r>
      <w:r w:rsidRPr="00305000">
        <w:rPr>
          <w:rFonts w:ascii="Times New Roman" w:eastAsia="Times New Roman" w:hAnsi="Times New Roman" w:cs="Times New Roman"/>
          <w:bCs/>
          <w:noProof/>
        </w:rPr>
        <w:t>. Технічні та якісні характеристики, форма випуску, упаковка товару повинні відповідати таким, що вказані в тендерній документації. У разі надання еквівалентного товару, учасник подає детальну порівняльну характеристику запропонованого ним товару та товару, що визначений в специфікації Додатку 3 Тендерної документації із зазначенням детальних відомостей щодо відповідності вимогам Замовника, а також обов’язково надає в складі своєї тендерної пропозиції копію інструкції з використання товару а також копію сертифікату (паспорту) якості, що зазначений в специфікації Додатку 3 Тендерної документації та запропонованого ним товару. Еквівалентність визначається замовником. Технічні, якісні характеристики предмета закупівлі повинні передбачати необхідність застосування заходів із захисту довкілля. (учасник повинен надати гарантійний лист).</w:t>
      </w:r>
    </w:p>
    <w:p w:rsidR="00305000" w:rsidRPr="00305000" w:rsidRDefault="00305000" w:rsidP="00305000">
      <w:pPr>
        <w:widowControl w:val="0"/>
        <w:autoSpaceDE w:val="0"/>
        <w:spacing w:line="100" w:lineRule="atLeast"/>
        <w:ind w:left="420"/>
        <w:rPr>
          <w:rFonts w:ascii="Times New Roman" w:hAnsi="Times New Roman" w:cs="Times New Roman"/>
          <w:bCs/>
          <w:noProof/>
        </w:rPr>
      </w:pPr>
      <w:r w:rsidRPr="00305000">
        <w:rPr>
          <w:rFonts w:ascii="Times New Roman" w:hAnsi="Times New Roman" w:cs="Times New Roman"/>
          <w:bCs/>
          <w:noProof/>
        </w:rPr>
        <w:t>9. Опис та кількісні вимоги до предмету закупівлі  (Специфікація):</w:t>
      </w:r>
    </w:p>
    <w:tbl>
      <w:tblPr>
        <w:tblStyle w:val="a4"/>
        <w:tblW w:w="10269" w:type="dxa"/>
        <w:tblInd w:w="-459" w:type="dxa"/>
        <w:tblLayout w:type="fixed"/>
        <w:tblLook w:val="04A0"/>
      </w:tblPr>
      <w:tblGrid>
        <w:gridCol w:w="540"/>
        <w:gridCol w:w="2862"/>
        <w:gridCol w:w="3261"/>
        <w:gridCol w:w="1701"/>
        <w:gridCol w:w="913"/>
        <w:gridCol w:w="992"/>
      </w:tblGrid>
      <w:tr w:rsidR="00305000" w:rsidRPr="00305000" w:rsidTr="00660108">
        <w:tc>
          <w:tcPr>
            <w:tcW w:w="540" w:type="dxa"/>
            <w:shd w:val="clear" w:color="auto" w:fill="auto"/>
          </w:tcPr>
          <w:p w:rsidR="00305000" w:rsidRPr="00305000" w:rsidRDefault="00305000" w:rsidP="00660108">
            <w:pPr>
              <w:pStyle w:val="af2"/>
              <w:rPr>
                <w:rFonts w:ascii="Times New Roman" w:hAnsi="Times New Roman"/>
                <w:noProof/>
                <w:sz w:val="18"/>
                <w:szCs w:val="18"/>
                <w:lang w:val="uk-UA"/>
              </w:rPr>
            </w:pPr>
            <w:r w:rsidRPr="00305000">
              <w:rPr>
                <w:rFonts w:ascii="Times New Roman" w:hAnsi="Times New Roman"/>
                <w:noProof/>
                <w:sz w:val="18"/>
                <w:szCs w:val="18"/>
                <w:lang w:val="uk-UA"/>
              </w:rPr>
              <w:t>№ п/п</w:t>
            </w:r>
          </w:p>
        </w:tc>
        <w:tc>
          <w:tcPr>
            <w:tcW w:w="286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Найменування предмету закупівлі відповідно до тендерної документації*</w:t>
            </w:r>
          </w:p>
        </w:tc>
        <w:tc>
          <w:tcPr>
            <w:tcW w:w="3261" w:type="dxa"/>
            <w:shd w:val="clear" w:color="auto" w:fill="auto"/>
          </w:tcPr>
          <w:p w:rsidR="00305000" w:rsidRPr="00305000" w:rsidRDefault="00305000" w:rsidP="00305000">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НК 024:2023 та його назва</w:t>
            </w:r>
          </w:p>
        </w:tc>
        <w:tc>
          <w:tcPr>
            <w:tcW w:w="170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13"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Од. виміру</w:t>
            </w:r>
          </w:p>
        </w:tc>
        <w:tc>
          <w:tcPr>
            <w:tcW w:w="992" w:type="dxa"/>
            <w:shd w:val="clear" w:color="auto" w:fill="auto"/>
          </w:tcPr>
          <w:p w:rsidR="00305000" w:rsidRPr="00305000" w:rsidRDefault="00305000" w:rsidP="00660108">
            <w:pPr>
              <w:pStyle w:val="af2"/>
              <w:ind w:right="-159"/>
              <w:rPr>
                <w:rFonts w:ascii="Times New Roman" w:hAnsi="Times New Roman"/>
                <w:noProof/>
                <w:sz w:val="18"/>
                <w:szCs w:val="18"/>
                <w:lang w:val="uk-UA"/>
              </w:rPr>
            </w:pPr>
            <w:r w:rsidRPr="00305000">
              <w:rPr>
                <w:rFonts w:ascii="Times New Roman" w:hAnsi="Times New Roman"/>
                <w:noProof/>
                <w:sz w:val="18"/>
                <w:szCs w:val="18"/>
                <w:lang w:val="uk-UA"/>
              </w:rPr>
              <w:t>Кількість, од.</w:t>
            </w:r>
          </w:p>
        </w:tc>
      </w:tr>
      <w:tr w:rsidR="00305000" w:rsidRPr="00305000" w:rsidTr="00660108">
        <w:tc>
          <w:tcPr>
            <w:tcW w:w="540"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1</w:t>
            </w:r>
          </w:p>
        </w:tc>
        <w:tc>
          <w:tcPr>
            <w:tcW w:w="286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2</w:t>
            </w:r>
          </w:p>
        </w:tc>
        <w:tc>
          <w:tcPr>
            <w:tcW w:w="326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3</w:t>
            </w:r>
          </w:p>
        </w:tc>
        <w:tc>
          <w:tcPr>
            <w:tcW w:w="1701"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4</w:t>
            </w:r>
          </w:p>
        </w:tc>
        <w:tc>
          <w:tcPr>
            <w:tcW w:w="913"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5</w:t>
            </w:r>
          </w:p>
        </w:tc>
        <w:tc>
          <w:tcPr>
            <w:tcW w:w="992" w:type="dxa"/>
            <w:shd w:val="clear" w:color="auto" w:fill="auto"/>
          </w:tcPr>
          <w:p w:rsidR="00305000" w:rsidRPr="00305000" w:rsidRDefault="00305000" w:rsidP="00660108">
            <w:pPr>
              <w:pStyle w:val="af2"/>
              <w:jc w:val="center"/>
              <w:rPr>
                <w:rFonts w:ascii="Times New Roman" w:hAnsi="Times New Roman"/>
                <w:noProof/>
                <w:sz w:val="18"/>
                <w:szCs w:val="18"/>
                <w:lang w:val="uk-UA"/>
              </w:rPr>
            </w:pPr>
            <w:r w:rsidRPr="00305000">
              <w:rPr>
                <w:rFonts w:ascii="Times New Roman" w:hAnsi="Times New Roman"/>
                <w:noProof/>
                <w:sz w:val="18"/>
                <w:szCs w:val="18"/>
                <w:lang w:val="uk-UA"/>
              </w:rPr>
              <w:t>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c>
          <w:tcPr>
            <w:tcW w:w="2862" w:type="dxa"/>
            <w:shd w:val="clear" w:color="auto" w:fill="auto"/>
            <w:vAlign w:val="center"/>
          </w:tcPr>
          <w:p w:rsidR="00142C28" w:rsidRPr="00305000" w:rsidRDefault="00142C28" w:rsidP="00142C28">
            <w:pP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Флакони з середовищем BacT/ALERT® FA Plus для виділення аеробних гемокультур (1 уп. №100)</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50413 Множинні анаеробні мікроорганізми, ізольований штам IVD (діагностика in vitro), набір</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eastAsia="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Глікогемоглобін (25 тестів /набір) до аналізатору Hipro</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59090 Глікозильований гемоглобін (HbA1c) IVD (діагностика in vitro ), набір, нефелометричний/ турбідиметричний аналіз</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HbA1c Тест на глікогемоглобін (контроль)  до аналізатору Hipro</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44435 Контрольний матеріал для визначення глікованого гемоглобіну (HbA1c), IVD (діагностика in vitro )</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Реагентний модуль Easy Stat Reagent Module </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52866 Множинні електроліти IVD (діагностика in vitro), набір, йон-селективні електроди</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12</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розчинів для щоденної промивки/очистки Easy Stat</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63377 Засіб для очищення приладу/ аналізатора IVD (діагностика in vitro)</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EasyQC Level 3 Blood Gas and Electrolyte Quality Control Набір матеріалів контрольних для газів крові та електролітів EasyQC , рівень 3</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52866 Множинні електроліти IVD (діагностика in vitro), набір, йон-селективні електроди</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7</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реагентів для виявлення РНК коронавірусу SARS-CoV-2 методом полімеразної ланцюгової реакції в реальному часі (96 досліджешь)</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50284 Коронавірус (SARS-CoV), нуклеїнова кислота IVD (діагностика in vitro), набір, аналіз нуклеїнових кислот</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7</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8</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Тест-системи для проведення тестування на DIA-ВІЛ 1/2 ІІІ, 192 досл.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48451 ВІЛ-1/ВІЛ-2, антитіла IVD (діагностика in vitro), набір, імуноферментний аналіз (ІФА)</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9</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Тест-система імуноферментна для виявлення поверхневого антигену вірусу гепатиту В (HBsAg) DIA-HBV 192 досл.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48319 Вірус гепатиту B, поверхневий антиген IVD (діагностика in vitro ), набір, імуноферментний аналіз (ІФА)</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18</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Тест-система імуноферментна для виявлення антитіл до вірусу гепатиту С DIA-HCV-ІІІ 192 досл.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48365 Вірус гепатиту C, загальні антитіла IVD (діагностика in vitro ), набір, імуноферментний аналіз (ІФА)</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18</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11</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Тест-система імуноферментна для виявлення IgM до нуклеокапсидного антигену коронавірусу SARS-CoV-2 DIA-SARS-CoV-2-NP-IgM 96 досл.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50293 Коронавірус (SARS-CoV), антитіла класу імуноглобулін M (IgM) IVD (діагностика in vitro), набір, імуноферментний аналіз (ІФА)</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12</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Тест-система імуноферментна для виявлення IgG до нуклеокапсидного антигену коронавірусу SARS-CoV-2 DIA-SARS-CoV-2-NP-IgG 96 досл.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50288 Коронавірус (SARS-CoV), антитіла класу імуноглобулін G (IgG) IVD (діагностика in vitro), набір, імуноферментний аналіз (ІФА)</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13</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Тест - смужки ДекаФАН (50 шт/уп) для роботи на сечовому аналізаторі Laura Smart</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54514 Численні аналіти сечі IVD (діагностика in vitro), набір, колориметрична тест-смужка, експрес-аналіз</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33696700-2</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60</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14</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Контрольна сеча Урінорм 3х15 мл для роботи на сечовому аналізаторі Laura Smart</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30219 Множинні аналіти сечі IVD (діагностика in vitro ), контрольний матеріал</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33696700-2</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15</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МБ 05.3-07 ФАРБИ ЦІЛЬ-НІЛЬСЕНА-200: Набір реагентів для забарвлення мікроорганізмів за методом Ціль-Нільсена, 200 проб: ТУ У 21.2-13433137-057:2013</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42694 Барвник для кислотостійких бактерій, набір, IVD (діагностика in vitro)</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33696500-0</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7</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16</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Плазма кроляча цитратна суха, уп 10 фл з дозатором</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51657 Множинні види бактерій Staphylococcus, визначення ізоляту культури IVD (діагностика in vitro), реагент</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17</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Сироватка діагностична сальмонельозна O Polyvalent  A-S, 1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51513 Множинні види Salmonella, антигени ізоляту культури IVD (діагностика in vitro ), набір, реакція аглютинації</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33698000-9</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фл</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18</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Сироватка діагностична сальмонельозна O:1, 1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51513 Множинні види Salmonella, антигени ізоляту культури IVD (діагностика in vitro ), набір, реакція аглютинації</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33698000-9</w:t>
            </w:r>
          </w:p>
        </w:tc>
        <w:tc>
          <w:tcPr>
            <w:tcW w:w="913"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19</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Сироватка діагностична сальмонельозна O:4, 1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51513 Множинні види Salmonella, антигени ізоляту культури IVD (діагностика in vitro ), набір, реакція аглютинації</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33698000-9</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20</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Сироватка діагностична сальмонельозна O:9, 1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51513 Множинні види Salmonella, антигени ізоляту культури IVD (діагностика in vitro ), набір, реакція аглютинації</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33698000-9</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21</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Сироватка діагностична сальмонельозна  H : g,m  для інверсії фази, 1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51513 Множинні види Salmonella, антигени ізоляту культури IVD (діагностика in vitro ), набір, реакція аглютинації</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33698000-9</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22</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Ізотонічний розчин BCFL3 20 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58237 Буферний розчинник зразків IVD (діагностика in vitro), автоматичні/ напівавтоматичні системи</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23</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Лізуючий розчин BCFL3 500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61165 Реагент для лізису клітин крові IVD (діагностика in vitro))</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24</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Діалайз - Діфф-LMG 1л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61165 Реагент для лізису клітин крові IVD (діагностика in vitro))</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25</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Діатон - Діфф-LMG-Ділюент 20л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58237 Буферний розчинник зразків IVD (діагностика in vitro), автоматичні/ напівавтоматичні системи</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10</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26</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Діа-клінер 1л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59058 Мийний/очищувальний розчин IVD (діагностика in vitro) для автоматизованих/ напівавтоматизованих систем</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33695000-8</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27</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Промиваючий розчин для очищення зонда 50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59058 Мийний/очищувальний розчин IVD (діагностика in vitro) для автоматизованих/ напівавтоматизованих систем</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33695000-8</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28</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Діа Ез Клінер D 50мл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59058 Мийний/очищувальний розчин IVD (діагностика in vitro) для автоматизованих/ напівавтоматизованих систем</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33695000-8</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29</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Діа Проб Клінер D 50 мл</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59058 Мийний/очищувальний розчин IVD (діагностика in vitro) для автоматизованих/ напівавтоматизованих систем</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33695000-8</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6</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30</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Очищувальний розчин (до Віоelab ES-200)</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59058 Мийний/очищувальний розчин IVD (діагностика in vitro) для автоматизованих/ напівавтоматизованих систем</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33695000-8</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шт</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31</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Набір реагентів для визначення рівня Феритину (25 тестів/набір) до аналізатору Hipro</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53718 Феритин IVD (діагностика in vitro ), набір, нефелометричний/ турбідиметричний аналіз</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r w:rsidR="00142C28" w:rsidRPr="00305000" w:rsidTr="00305000">
        <w:tc>
          <w:tcPr>
            <w:tcW w:w="540" w:type="dxa"/>
            <w:shd w:val="clear" w:color="auto" w:fill="auto"/>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32</w:t>
            </w:r>
          </w:p>
        </w:tc>
        <w:tc>
          <w:tcPr>
            <w:tcW w:w="2862"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 xml:space="preserve">Набір реагентів для визначення рівня С-реактивного білку (25 </w:t>
            </w:r>
            <w:r w:rsidRPr="00305000">
              <w:rPr>
                <w:rFonts w:ascii="Times New Roman" w:hAnsi="Times New Roman" w:cs="Times New Roman"/>
                <w:noProof/>
                <w:color w:val="000000"/>
                <w:sz w:val="18"/>
                <w:szCs w:val="18"/>
              </w:rPr>
              <w:lastRenderedPageBreak/>
              <w:t>тестів/набір) до аналізатору Hipro</w:t>
            </w:r>
          </w:p>
        </w:tc>
        <w:tc>
          <w:tcPr>
            <w:tcW w:w="326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 xml:space="preserve">58768 С-реактивний білок (СРБ) IVD (діагностика in vitro ), набір, </w:t>
            </w:r>
            <w:r w:rsidRPr="00305000">
              <w:rPr>
                <w:rFonts w:ascii="Times New Roman" w:hAnsi="Times New Roman" w:cs="Times New Roman"/>
                <w:noProof/>
                <w:color w:val="000000"/>
                <w:sz w:val="18"/>
                <w:szCs w:val="18"/>
              </w:rPr>
              <w:lastRenderedPageBreak/>
              <w:t>імунофлуоресцентний аналіз</w:t>
            </w:r>
          </w:p>
        </w:tc>
        <w:tc>
          <w:tcPr>
            <w:tcW w:w="1701" w:type="dxa"/>
            <w:shd w:val="clear" w:color="auto" w:fill="auto"/>
            <w:vAlign w:val="center"/>
          </w:tcPr>
          <w:p w:rsidR="00142C28" w:rsidRPr="00305000" w:rsidRDefault="00142C28" w:rsidP="00142C28">
            <w:pP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lastRenderedPageBreak/>
              <w:t>33694000-1</w:t>
            </w:r>
          </w:p>
        </w:tc>
        <w:tc>
          <w:tcPr>
            <w:tcW w:w="913"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уп</w:t>
            </w:r>
          </w:p>
        </w:tc>
        <w:tc>
          <w:tcPr>
            <w:tcW w:w="992" w:type="dxa"/>
            <w:shd w:val="clear" w:color="000000" w:fill="FFFFFF"/>
            <w:vAlign w:val="center"/>
          </w:tcPr>
          <w:p w:rsidR="00142C28" w:rsidRPr="00305000" w:rsidRDefault="00142C28" w:rsidP="00142C28">
            <w:pPr>
              <w:jc w:val="center"/>
              <w:rPr>
                <w:rFonts w:ascii="Times New Roman" w:hAnsi="Times New Roman" w:cs="Times New Roman"/>
                <w:noProof/>
                <w:color w:val="000000"/>
                <w:sz w:val="18"/>
                <w:szCs w:val="18"/>
              </w:rPr>
            </w:pPr>
            <w:r w:rsidRPr="00305000">
              <w:rPr>
                <w:rFonts w:ascii="Times New Roman" w:hAnsi="Times New Roman" w:cs="Times New Roman"/>
                <w:noProof/>
                <w:color w:val="000000"/>
                <w:sz w:val="18"/>
                <w:szCs w:val="18"/>
              </w:rPr>
              <w:t>1</w:t>
            </w:r>
          </w:p>
        </w:tc>
      </w:tr>
    </w:tbl>
    <w:p w:rsidR="00305000" w:rsidRPr="00305000" w:rsidRDefault="00305000" w:rsidP="00142C28">
      <w:pPr>
        <w:tabs>
          <w:tab w:val="left" w:pos="0"/>
        </w:tabs>
        <w:ind w:left="-426" w:right="-142"/>
        <w:jc w:val="both"/>
        <w:rPr>
          <w:rFonts w:ascii="Times New Roman" w:hAnsi="Times New Roman" w:cs="Times New Roman"/>
          <w:i/>
          <w:noProof/>
          <w:sz w:val="16"/>
        </w:rPr>
      </w:pPr>
      <w:r w:rsidRPr="00305000">
        <w:rPr>
          <w:rFonts w:ascii="Times New Roman" w:hAnsi="Times New Roman" w:cs="Times New Roman"/>
          <w:i/>
          <w:noProof/>
          <w:sz w:val="16"/>
        </w:rPr>
        <w:lastRenderedPageBreak/>
        <w:t>*у разі наявності в технічній частині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w:t>
      </w:r>
      <w:r>
        <w:rPr>
          <w:rFonts w:ascii="Times New Roman" w:hAnsi="Times New Roman" w:cs="Times New Roman"/>
          <w:i/>
          <w:noProof/>
          <w:sz w:val="16"/>
        </w:rPr>
        <w:t>/або</w:t>
      </w:r>
      <w:r w:rsidRPr="00305000">
        <w:rPr>
          <w:rFonts w:ascii="Times New Roman" w:hAnsi="Times New Roman" w:cs="Times New Roman"/>
          <w:i/>
          <w:noProof/>
          <w:sz w:val="16"/>
        </w:rPr>
        <w:t xml:space="preserve"> буде використовуватись з уже наявним </w:t>
      </w:r>
      <w:r>
        <w:rPr>
          <w:rFonts w:ascii="Times New Roman" w:hAnsi="Times New Roman" w:cs="Times New Roman"/>
          <w:i/>
          <w:noProof/>
          <w:sz w:val="16"/>
        </w:rPr>
        <w:t>у Замовника медичним/</w:t>
      </w:r>
      <w:r w:rsidRPr="00305000">
        <w:rPr>
          <w:rFonts w:ascii="Times New Roman" w:hAnsi="Times New Roman" w:cs="Times New Roman"/>
          <w:i/>
          <w:noProof/>
          <w:sz w:val="16"/>
        </w:rPr>
        <w:t>лабораторним обладнанням, а тому дуже важливо для сумісності із таким обладнанням чітко дотримуватись зазначених технічних вимог. Запропонований товар обов’язково повинен відповідати усім наведеним вище вимогам. Закупівля реагентів згідно п.</w:t>
      </w:r>
      <w:r w:rsidR="00142C28">
        <w:rPr>
          <w:rFonts w:ascii="Times New Roman" w:hAnsi="Times New Roman" w:cs="Times New Roman"/>
          <w:i/>
          <w:noProof/>
          <w:sz w:val="16"/>
        </w:rPr>
        <w:t>30</w:t>
      </w:r>
      <w:r w:rsidRPr="00305000">
        <w:rPr>
          <w:rFonts w:ascii="Times New Roman" w:hAnsi="Times New Roman" w:cs="Times New Roman"/>
          <w:i/>
          <w:noProof/>
          <w:sz w:val="16"/>
        </w:rPr>
        <w:t xml:space="preserve"> Специфікації передбачена до автоматичного біохімічного аналізатора BIOELAB ES-200. Закупівля реагентів згідно п.</w:t>
      </w:r>
      <w:r w:rsidR="00142C28">
        <w:rPr>
          <w:rFonts w:ascii="Times New Roman" w:hAnsi="Times New Roman" w:cs="Times New Roman"/>
          <w:i/>
          <w:noProof/>
          <w:sz w:val="16"/>
        </w:rPr>
        <w:t>4-6</w:t>
      </w:r>
      <w:r w:rsidRPr="00305000">
        <w:rPr>
          <w:rFonts w:ascii="Times New Roman" w:hAnsi="Times New Roman" w:cs="Times New Roman"/>
          <w:i/>
          <w:noProof/>
          <w:sz w:val="16"/>
        </w:rPr>
        <w:t xml:space="preserve"> Специфікації передбачена до автоматичного аналізатора  газів крові та електролітів Easy Stat. Закупівля реагентів згідно п.</w:t>
      </w:r>
      <w:r w:rsidR="00142C28">
        <w:rPr>
          <w:rFonts w:ascii="Times New Roman" w:hAnsi="Times New Roman" w:cs="Times New Roman"/>
          <w:i/>
          <w:noProof/>
          <w:sz w:val="16"/>
        </w:rPr>
        <w:t>2-3</w:t>
      </w:r>
      <w:r w:rsidRPr="00305000">
        <w:rPr>
          <w:rFonts w:ascii="Times New Roman" w:hAnsi="Times New Roman" w:cs="Times New Roman"/>
          <w:i/>
          <w:noProof/>
          <w:sz w:val="16"/>
        </w:rPr>
        <w:t xml:space="preserve">, </w:t>
      </w:r>
      <w:r w:rsidR="00142C28">
        <w:rPr>
          <w:rFonts w:ascii="Times New Roman" w:hAnsi="Times New Roman" w:cs="Times New Roman"/>
          <w:i/>
          <w:noProof/>
          <w:sz w:val="16"/>
        </w:rPr>
        <w:t>31-32</w:t>
      </w:r>
      <w:r w:rsidRPr="00305000">
        <w:rPr>
          <w:rFonts w:ascii="Times New Roman" w:hAnsi="Times New Roman" w:cs="Times New Roman"/>
          <w:i/>
          <w:noProof/>
          <w:sz w:val="16"/>
        </w:rPr>
        <w:t xml:space="preserve"> Специфікації передбачена доавтоматичного аналізатора серії А1 Hiprо. Закупівля тест-смужок згідно п.</w:t>
      </w:r>
      <w:r w:rsidR="00142C28">
        <w:rPr>
          <w:rFonts w:ascii="Times New Roman" w:hAnsi="Times New Roman" w:cs="Times New Roman"/>
          <w:i/>
          <w:noProof/>
          <w:sz w:val="16"/>
        </w:rPr>
        <w:t>13-14</w:t>
      </w:r>
      <w:r w:rsidRPr="00305000">
        <w:rPr>
          <w:rFonts w:ascii="Times New Roman" w:hAnsi="Times New Roman" w:cs="Times New Roman"/>
          <w:i/>
          <w:noProof/>
          <w:sz w:val="16"/>
        </w:rPr>
        <w:t xml:space="preserve"> Специфікації передбачена для роботи на сечовому аналізаторі Laura Smart.</w:t>
      </w:r>
    </w:p>
    <w:p w:rsidR="00305000" w:rsidRPr="00305000" w:rsidRDefault="00305000" w:rsidP="00305000">
      <w:pPr>
        <w:tabs>
          <w:tab w:val="left" w:pos="720"/>
        </w:tabs>
        <w:jc w:val="both"/>
        <w:rPr>
          <w:rFonts w:ascii="Times New Roman" w:hAnsi="Times New Roman"/>
          <w:noProof/>
          <w:szCs w:val="24"/>
        </w:rPr>
      </w:pPr>
    </w:p>
    <w:p w:rsidR="00305000" w:rsidRPr="00305000" w:rsidRDefault="00305000" w:rsidP="00305000">
      <w:pPr>
        <w:jc w:val="both"/>
        <w:rPr>
          <w:rFonts w:ascii="Times New Roman" w:hAnsi="Times New Roman" w:cs="Times New Roman"/>
          <w:bCs/>
          <w:noProof/>
          <w:u w:val="single"/>
        </w:rPr>
      </w:pPr>
      <w:r w:rsidRPr="00305000">
        <w:rPr>
          <w:rFonts w:ascii="Times New Roman" w:hAnsi="Times New Roman"/>
          <w:noProof/>
          <w:szCs w:val="24"/>
        </w:rPr>
        <w:t xml:space="preserve">10. </w:t>
      </w:r>
      <w:r w:rsidRPr="00305000">
        <w:rPr>
          <w:rFonts w:ascii="Times New Roman" w:hAnsi="Times New Roman" w:cs="Times New Roman"/>
          <w:bCs/>
          <w:noProof/>
          <w:u w:val="single"/>
        </w:rPr>
        <w:t>Вимоги (додаткові вимоги) до учасників:</w:t>
      </w:r>
    </w:p>
    <w:p w:rsidR="00305000" w:rsidRPr="00305000" w:rsidRDefault="00305000" w:rsidP="00305000">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Враховуючи  особливість діяльності та статусу замовника торгів:</w:t>
      </w:r>
    </w:p>
    <w:p w:rsidR="00305000" w:rsidRPr="00305000" w:rsidRDefault="00305000" w:rsidP="00305000">
      <w:pPr>
        <w:ind w:left="378" w:hanging="14"/>
        <w:jc w:val="both"/>
        <w:rPr>
          <w:rFonts w:ascii="Times New Roman" w:hAnsi="Times New Roman" w:cs="Times New Roman"/>
          <w:noProof/>
          <w:color w:val="000000"/>
        </w:rPr>
      </w:pPr>
      <w:r w:rsidRPr="00305000">
        <w:rPr>
          <w:rFonts w:ascii="Times New Roman" w:hAnsi="Times New Roman" w:cs="Times New Roman"/>
          <w:noProof/>
          <w:color w:val="000000"/>
        </w:rPr>
        <w:t>1.) Доставка замовленої продукції  проводиться партіями за адресою замовника торгів (передання в руки уповноваженій особі закладу) спеціально обладнаним транспортом Постачальника з дотриманням санітарно-гігієнічних умов зберігання.</w:t>
      </w:r>
    </w:p>
    <w:p w:rsidR="00305000" w:rsidRPr="00305000" w:rsidRDefault="00305000" w:rsidP="00305000">
      <w:pPr>
        <w:ind w:left="378" w:hanging="14"/>
        <w:rPr>
          <w:rFonts w:ascii="Times New Roman" w:hAnsi="Times New Roman" w:cs="Times New Roman"/>
          <w:noProof/>
          <w:color w:val="000000"/>
        </w:rPr>
      </w:pPr>
      <w:r w:rsidRPr="00305000">
        <w:rPr>
          <w:rFonts w:ascii="Times New Roman" w:hAnsi="Times New Roman" w:cs="Times New Roman"/>
          <w:noProof/>
          <w:color w:val="000000"/>
        </w:rPr>
        <w:t xml:space="preserve">2.) </w:t>
      </w:r>
      <w:r w:rsidRPr="00305000">
        <w:rPr>
          <w:rFonts w:ascii="Times New Roman" w:hAnsi="Times New Roman" w:cs="Times New Roman"/>
          <w:noProof/>
          <w:color w:val="1A1A1A"/>
        </w:rPr>
        <w:t>Постачання здійснюється за заявками Замовника протягом  7 (семи) календарних днів з дати узгодження відповідної заявки</w:t>
      </w:r>
      <w:r w:rsidRPr="00305000">
        <w:rPr>
          <w:rFonts w:ascii="Times New Roman" w:hAnsi="Times New Roman" w:cs="Times New Roman"/>
          <w:noProof/>
          <w:color w:val="000000"/>
        </w:rPr>
        <w:t>.</w:t>
      </w:r>
    </w:p>
    <w:p w:rsidR="005F3777" w:rsidRPr="00305000" w:rsidRDefault="005F3777" w:rsidP="00305000">
      <w:pPr>
        <w:rPr>
          <w:noProof/>
        </w:rPr>
      </w:pPr>
    </w:p>
    <w:sectPr w:rsidR="005F3777" w:rsidRPr="00305000" w:rsidSect="00C32B3D">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20"/>
  <w:hyphenationZone w:val="425"/>
  <w:characterSpacingControl w:val="doNotCompress"/>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2C28"/>
    <w:rsid w:val="001446BF"/>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000"/>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4AA3"/>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1808"/>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5C7E"/>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05C70"/>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32B3D"/>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2C"/>
  </w:style>
  <w:style w:type="paragraph" w:styleId="1">
    <w:name w:val="heading 1"/>
    <w:basedOn w:val="a"/>
    <w:next w:val="a"/>
    <w:rsid w:val="00C32B3D"/>
    <w:pPr>
      <w:keepNext/>
      <w:keepLines/>
      <w:spacing w:before="480" w:after="120"/>
      <w:outlineLvl w:val="0"/>
    </w:pPr>
    <w:rPr>
      <w:b/>
      <w:sz w:val="48"/>
      <w:szCs w:val="48"/>
    </w:rPr>
  </w:style>
  <w:style w:type="paragraph" w:styleId="2">
    <w:name w:val="heading 2"/>
    <w:basedOn w:val="a"/>
    <w:next w:val="a"/>
    <w:rsid w:val="00C32B3D"/>
    <w:pPr>
      <w:keepNext/>
      <w:keepLines/>
      <w:spacing w:before="360" w:after="80"/>
      <w:outlineLvl w:val="1"/>
    </w:pPr>
    <w:rPr>
      <w:b/>
      <w:sz w:val="36"/>
      <w:szCs w:val="36"/>
    </w:rPr>
  </w:style>
  <w:style w:type="paragraph" w:styleId="3">
    <w:name w:val="heading 3"/>
    <w:basedOn w:val="a"/>
    <w:next w:val="a"/>
    <w:rsid w:val="00C32B3D"/>
    <w:pPr>
      <w:keepNext/>
      <w:keepLines/>
      <w:spacing w:before="280" w:after="80"/>
      <w:outlineLvl w:val="2"/>
    </w:pPr>
    <w:rPr>
      <w:b/>
      <w:sz w:val="28"/>
      <w:szCs w:val="28"/>
    </w:rPr>
  </w:style>
  <w:style w:type="paragraph" w:styleId="4">
    <w:name w:val="heading 4"/>
    <w:basedOn w:val="a"/>
    <w:next w:val="a"/>
    <w:rsid w:val="00C32B3D"/>
    <w:pPr>
      <w:keepNext/>
      <w:keepLines/>
      <w:spacing w:before="240" w:after="40"/>
      <w:outlineLvl w:val="3"/>
    </w:pPr>
    <w:rPr>
      <w:b/>
      <w:sz w:val="24"/>
      <w:szCs w:val="24"/>
    </w:rPr>
  </w:style>
  <w:style w:type="paragraph" w:styleId="5">
    <w:name w:val="heading 5"/>
    <w:basedOn w:val="a"/>
    <w:next w:val="a"/>
    <w:rsid w:val="00C32B3D"/>
    <w:pPr>
      <w:keepNext/>
      <w:keepLines/>
      <w:spacing w:before="220" w:after="40"/>
      <w:outlineLvl w:val="4"/>
    </w:pPr>
    <w:rPr>
      <w:b/>
    </w:rPr>
  </w:style>
  <w:style w:type="paragraph" w:styleId="6">
    <w:name w:val="heading 6"/>
    <w:basedOn w:val="a"/>
    <w:next w:val="a"/>
    <w:rsid w:val="00C32B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32B3D"/>
    <w:tblPr>
      <w:tblCellMar>
        <w:top w:w="0" w:type="dxa"/>
        <w:left w:w="0" w:type="dxa"/>
        <w:bottom w:w="0" w:type="dxa"/>
        <w:right w:w="0" w:type="dxa"/>
      </w:tblCellMar>
    </w:tblPr>
  </w:style>
  <w:style w:type="paragraph" w:styleId="a3">
    <w:name w:val="Title"/>
    <w:basedOn w:val="a"/>
    <w:next w:val="a"/>
    <w:rsid w:val="00C32B3D"/>
    <w:pPr>
      <w:keepNext/>
      <w:keepLines/>
      <w:spacing w:before="480" w:after="120"/>
    </w:pPr>
    <w:rPr>
      <w:b/>
      <w:sz w:val="72"/>
      <w:szCs w:val="72"/>
    </w:rPr>
  </w:style>
  <w:style w:type="table" w:customStyle="1" w:styleId="TableNormal0">
    <w:name w:val="Table Normal"/>
    <w:rsid w:val="00C32B3D"/>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rsid w:val="00C32B3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32B3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C32B3D"/>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uiPriority w:val="1"/>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uiPriority w:val="1"/>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5D5AB1-C31F-4039-A0D7-E1B036DF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1838</Words>
  <Characters>10480</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cp:revision>
  <cp:lastPrinted>2023-06-01T07:43:00Z</cp:lastPrinted>
  <dcterms:created xsi:type="dcterms:W3CDTF">2024-03-15T18:18:00Z</dcterms:created>
  <dcterms:modified xsi:type="dcterms:W3CDTF">2024-03-29T07:13:00Z</dcterms:modified>
</cp:coreProperties>
</file>