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3E" w:rsidRPr="0060103E" w:rsidRDefault="0060103E" w:rsidP="0060103E">
      <w:pPr>
        <w:widowControl w:val="0"/>
        <w:spacing w:after="0" w:line="240" w:lineRule="auto"/>
        <w:jc w:val="both"/>
        <w:rPr>
          <w:rFonts w:ascii="Times New Roman" w:eastAsia="Times New Roman" w:hAnsi="Times New Roman" w:cs="Times New Roman"/>
          <w:sz w:val="24"/>
          <w:szCs w:val="24"/>
          <w:lang w:eastAsia="uk-UA"/>
        </w:rPr>
      </w:pPr>
      <w:bookmarkStart w:id="0" w:name="_GoBack"/>
      <w:bookmarkEnd w:id="0"/>
    </w:p>
    <w:p w:rsidR="0060103E" w:rsidRPr="0060103E" w:rsidRDefault="0060103E" w:rsidP="0060103E">
      <w:pPr>
        <w:widowControl w:val="0"/>
        <w:spacing w:after="0" w:line="240" w:lineRule="auto"/>
        <w:jc w:val="right"/>
        <w:rPr>
          <w:rFonts w:ascii="Times New Roman" w:eastAsia="Times New Roman" w:hAnsi="Times New Roman" w:cs="Times New Roman"/>
          <w:lang w:val="ru-RU" w:eastAsia="uk-UA"/>
        </w:rPr>
      </w:pPr>
      <w:r w:rsidRPr="0060103E">
        <w:rPr>
          <w:rFonts w:ascii="Times New Roman" w:eastAsia="Times New Roman" w:hAnsi="Times New Roman" w:cs="Times New Roman"/>
          <w:lang w:eastAsia="uk-UA"/>
        </w:rPr>
        <w:t>Додаток 2</w:t>
      </w:r>
    </w:p>
    <w:p w:rsidR="0060103E" w:rsidRPr="0060103E" w:rsidRDefault="0060103E" w:rsidP="0060103E">
      <w:pPr>
        <w:widowControl w:val="0"/>
        <w:spacing w:after="0" w:line="240" w:lineRule="auto"/>
        <w:jc w:val="right"/>
        <w:rPr>
          <w:rFonts w:ascii="Times New Roman" w:eastAsia="Times New Roman" w:hAnsi="Times New Roman" w:cs="Times New Roman"/>
          <w:lang w:eastAsia="uk-UA"/>
        </w:rPr>
      </w:pPr>
      <w:r w:rsidRPr="0060103E">
        <w:rPr>
          <w:rFonts w:ascii="Times New Roman" w:eastAsia="Times New Roman" w:hAnsi="Times New Roman" w:cs="Times New Roman"/>
          <w:lang w:eastAsia="uk-UA"/>
        </w:rPr>
        <w:t>до тендерної документації</w:t>
      </w:r>
    </w:p>
    <w:p w:rsidR="0060103E" w:rsidRPr="0060103E" w:rsidRDefault="0060103E" w:rsidP="0060103E">
      <w:pPr>
        <w:widowControl w:val="0"/>
        <w:spacing w:after="0" w:line="240" w:lineRule="auto"/>
        <w:jc w:val="right"/>
        <w:rPr>
          <w:rFonts w:ascii="Times New Roman" w:eastAsia="Times New Roman" w:hAnsi="Times New Roman" w:cs="Times New Roman"/>
          <w:highlight w:val="yellow"/>
          <w:lang w:eastAsia="uk-UA"/>
        </w:rPr>
      </w:pPr>
    </w:p>
    <w:p w:rsidR="0060103E" w:rsidRPr="0060103E" w:rsidRDefault="0060103E" w:rsidP="0060103E">
      <w:pPr>
        <w:spacing w:after="0" w:line="240" w:lineRule="auto"/>
        <w:jc w:val="center"/>
        <w:rPr>
          <w:rFonts w:ascii="Times New Roman" w:eastAsia="Calibri" w:hAnsi="Times New Roman" w:cs="Calibri"/>
          <w:b/>
          <w:lang w:eastAsia="uk-UA"/>
        </w:rPr>
      </w:pPr>
      <w:r w:rsidRPr="0060103E">
        <w:rPr>
          <w:rFonts w:ascii="Times New Roman" w:eastAsia="Calibri" w:hAnsi="Times New Roman" w:cs="Calibri"/>
          <w:b/>
          <w:lang w:eastAsia="uk-UA"/>
        </w:rPr>
        <w:t>Технічні, якісні, кількісні та інші характеристики предмета закупівлі</w:t>
      </w:r>
    </w:p>
    <w:p w:rsidR="0060103E" w:rsidRPr="0060103E" w:rsidRDefault="0060103E" w:rsidP="003E7154">
      <w:pPr>
        <w:spacing w:after="0" w:line="240" w:lineRule="auto"/>
        <w:jc w:val="center"/>
        <w:rPr>
          <w:rFonts w:ascii="Times New Roman" w:eastAsia="Calibri" w:hAnsi="Times New Roman" w:cs="Times New Roman"/>
          <w:b/>
          <w:color w:val="000000"/>
          <w:sz w:val="24"/>
          <w:szCs w:val="23"/>
          <w:lang w:eastAsia="uk-UA"/>
        </w:rPr>
      </w:pPr>
      <w:r w:rsidRPr="0060103E">
        <w:rPr>
          <w:rFonts w:ascii="Times New Roman" w:eastAsia="Calibri" w:hAnsi="Times New Roman" w:cs="Calibri"/>
          <w:b/>
          <w:sz w:val="20"/>
          <w:lang w:eastAsia="uk-UA"/>
        </w:rPr>
        <w:t xml:space="preserve"> </w:t>
      </w:r>
      <w:r w:rsidRPr="0060103E">
        <w:rPr>
          <w:rFonts w:ascii="Times New Roman" w:eastAsia="Times New Roman" w:hAnsi="Times New Roman" w:cs="Times New Roman"/>
          <w:b/>
          <w:color w:val="000000"/>
          <w:sz w:val="24"/>
          <w:szCs w:val="24"/>
          <w:lang w:eastAsia="uk-UA"/>
        </w:rPr>
        <w:t xml:space="preserve">«код ДК 021:2015 </w:t>
      </w:r>
      <w:r w:rsidRPr="0060103E">
        <w:rPr>
          <w:rFonts w:ascii="Times New Roman" w:eastAsia="Times New Roman" w:hAnsi="Times New Roman" w:cs="Times New Roman"/>
          <w:b/>
          <w:color w:val="000000"/>
          <w:sz w:val="28"/>
          <w:szCs w:val="24"/>
          <w:lang w:eastAsia="uk-UA"/>
        </w:rPr>
        <w:t xml:space="preserve">- </w:t>
      </w:r>
      <w:r w:rsidRPr="0060103E">
        <w:rPr>
          <w:rFonts w:ascii="Times New Roman" w:eastAsia="Calibri" w:hAnsi="Times New Roman" w:cs="Times New Roman"/>
          <w:b/>
          <w:color w:val="000000"/>
          <w:sz w:val="24"/>
          <w:szCs w:val="23"/>
          <w:lang w:eastAsia="uk-UA"/>
        </w:rPr>
        <w:t>32320000-2</w:t>
      </w:r>
    </w:p>
    <w:p w:rsidR="0060103E" w:rsidRPr="0060103E" w:rsidRDefault="0060103E" w:rsidP="003E7154">
      <w:pPr>
        <w:spacing w:after="0" w:line="240" w:lineRule="auto"/>
        <w:jc w:val="center"/>
        <w:rPr>
          <w:rFonts w:ascii="Times New Roman" w:eastAsia="Calibri" w:hAnsi="Times New Roman" w:cs="Times New Roman"/>
          <w:b/>
          <w:color w:val="000000"/>
          <w:sz w:val="24"/>
          <w:szCs w:val="23"/>
          <w:lang w:eastAsia="uk-UA"/>
        </w:rPr>
      </w:pPr>
      <w:r w:rsidRPr="0060103E">
        <w:rPr>
          <w:rFonts w:ascii="Times New Roman" w:eastAsia="Calibri" w:hAnsi="Times New Roman" w:cs="Times New Roman"/>
          <w:b/>
          <w:color w:val="000000"/>
          <w:sz w:val="24"/>
          <w:szCs w:val="23"/>
          <w:lang w:eastAsia="uk-UA"/>
        </w:rPr>
        <w:t>Телевізійне й аудіовізуальне обладнання» -</w:t>
      </w:r>
    </w:p>
    <w:p w:rsidR="0060103E" w:rsidRPr="0060103E" w:rsidRDefault="0060103E" w:rsidP="003E7154">
      <w:pPr>
        <w:spacing w:after="0" w:line="240" w:lineRule="auto"/>
        <w:jc w:val="center"/>
        <w:rPr>
          <w:rFonts w:ascii="Times New Roman" w:eastAsia="Times New Roman" w:hAnsi="Times New Roman" w:cs="Times New Roman"/>
          <w:b/>
          <w:sz w:val="28"/>
          <w:szCs w:val="24"/>
          <w:lang w:eastAsia="uk-UA"/>
        </w:rPr>
      </w:pPr>
      <w:r w:rsidRPr="0060103E">
        <w:rPr>
          <w:rFonts w:ascii="Times New Roman" w:eastAsia="Calibri" w:hAnsi="Times New Roman" w:cs="Times New Roman"/>
          <w:b/>
          <w:color w:val="000000"/>
          <w:sz w:val="24"/>
          <w:szCs w:val="23"/>
          <w:lang w:eastAsia="uk-UA"/>
        </w:rPr>
        <w:t>«Комплект мультимедійного обладнання. Тип 3»</w:t>
      </w:r>
      <w:hyperlink r:id="rId5" w:history="1">
        <w:r w:rsidRPr="0060103E">
          <w:rPr>
            <w:rFonts w:ascii="Times New Roman" w:eastAsia="Calibri" w:hAnsi="Times New Roman" w:cs="Times New Roman"/>
            <w:b/>
            <w:color w:val="FFFFFF"/>
            <w:sz w:val="4"/>
            <w:szCs w:val="2"/>
            <w:lang w:eastAsia="uk-UA"/>
          </w:rPr>
          <w:t>ДК 021:2015 ℹ</w:t>
        </w:r>
      </w:hyperlink>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60103E" w:rsidRPr="0060103E" w:rsidTr="0071669B">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60103E" w:rsidRPr="0060103E" w:rsidRDefault="0060103E" w:rsidP="0060103E">
            <w:pPr>
              <w:spacing w:after="0" w:line="240" w:lineRule="auto"/>
              <w:jc w:val="center"/>
              <w:rPr>
                <w:rFonts w:ascii="Times New Roman" w:eastAsia="Calibri" w:hAnsi="Times New Roman" w:cs="Calibri"/>
                <w:b/>
                <w:lang w:eastAsia="uk-UA"/>
              </w:rPr>
            </w:pPr>
            <w:r w:rsidRPr="0060103E">
              <w:rPr>
                <w:rFonts w:ascii="Times New Roman" w:eastAsia="Calibri" w:hAnsi="Times New Roman" w:cs="Calibri"/>
                <w:b/>
                <w:lang w:eastAsia="uk-UA"/>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rsidR="0060103E" w:rsidRPr="0060103E" w:rsidRDefault="0060103E" w:rsidP="0060103E">
            <w:pPr>
              <w:spacing w:after="0" w:line="240" w:lineRule="auto"/>
              <w:jc w:val="center"/>
              <w:rPr>
                <w:rFonts w:ascii="Times New Roman" w:eastAsia="Calibri" w:hAnsi="Times New Roman" w:cs="Calibri"/>
                <w:b/>
                <w:lang w:eastAsia="uk-UA"/>
              </w:rPr>
            </w:pPr>
            <w:r w:rsidRPr="0060103E">
              <w:rPr>
                <w:rFonts w:ascii="Times New Roman" w:eastAsia="Calibri" w:hAnsi="Times New Roman" w:cs="Calibri"/>
                <w:b/>
                <w:lang w:eastAsia="uk-UA"/>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60103E" w:rsidRPr="0060103E" w:rsidRDefault="0060103E" w:rsidP="0060103E">
            <w:pPr>
              <w:spacing w:after="0" w:line="240" w:lineRule="auto"/>
              <w:jc w:val="center"/>
              <w:rPr>
                <w:rFonts w:ascii="Times New Roman" w:eastAsia="Calibri" w:hAnsi="Times New Roman" w:cs="Calibri"/>
                <w:b/>
                <w:lang w:eastAsia="uk-UA"/>
              </w:rPr>
            </w:pPr>
            <w:r w:rsidRPr="0060103E">
              <w:rPr>
                <w:rFonts w:ascii="Times New Roman" w:eastAsia="Calibri" w:hAnsi="Times New Roman" w:cs="Calibri"/>
                <w:b/>
                <w:lang w:eastAsia="uk-UA"/>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60103E" w:rsidRPr="0060103E" w:rsidRDefault="0060103E" w:rsidP="0060103E">
            <w:pPr>
              <w:spacing w:after="0" w:line="240" w:lineRule="auto"/>
              <w:jc w:val="center"/>
              <w:rPr>
                <w:rFonts w:ascii="Times New Roman" w:eastAsia="Calibri" w:hAnsi="Times New Roman" w:cs="Calibri"/>
                <w:b/>
                <w:lang w:eastAsia="uk-UA"/>
              </w:rPr>
            </w:pPr>
            <w:r w:rsidRPr="0060103E">
              <w:rPr>
                <w:rFonts w:ascii="Times New Roman" w:eastAsia="Calibri" w:hAnsi="Times New Roman" w:cs="Calibri"/>
                <w:b/>
                <w:lang w:eastAsia="uk-UA"/>
              </w:rPr>
              <w:t>К-ть</w:t>
            </w:r>
          </w:p>
        </w:tc>
      </w:tr>
      <w:tr w:rsidR="0060103E" w:rsidRPr="0060103E" w:rsidTr="0071669B">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60103E" w:rsidRPr="0060103E" w:rsidRDefault="0060103E" w:rsidP="0060103E">
            <w:pPr>
              <w:pBdr>
                <w:top w:val="nil"/>
                <w:left w:val="nil"/>
                <w:bottom w:val="nil"/>
                <w:right w:val="nil"/>
                <w:between w:val="nil"/>
              </w:pBdr>
              <w:spacing w:after="0" w:line="240" w:lineRule="auto"/>
              <w:ind w:left="360"/>
              <w:rPr>
                <w:rFonts w:ascii="Times New Roman" w:eastAsia="Calibri" w:hAnsi="Times New Roman" w:cs="Calibri"/>
                <w:lang w:eastAsia="uk-UA"/>
              </w:rPr>
            </w:pPr>
            <w:r>
              <w:rPr>
                <w:rFonts w:ascii="Times New Roman" w:eastAsia="Calibri" w:hAnsi="Times New Roman" w:cs="Calibri"/>
                <w:lang w:eastAsia="uk-UA"/>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3E7154" w:rsidRDefault="003E7154" w:rsidP="0060103E">
            <w:pPr>
              <w:spacing w:after="0" w:line="240" w:lineRule="auto"/>
              <w:jc w:val="center"/>
              <w:rPr>
                <w:rFonts w:ascii="Times New Roman" w:eastAsia="Calibri" w:hAnsi="Times New Roman" w:cs="Times New Roman"/>
                <w:szCs w:val="20"/>
                <w:lang w:eastAsia="uk-UA"/>
              </w:rPr>
            </w:pPr>
            <w:r w:rsidRPr="003E7154">
              <w:rPr>
                <w:rFonts w:ascii="Times New Roman" w:eastAsia="Calibri" w:hAnsi="Times New Roman" w:cs="Times New Roman"/>
                <w:szCs w:val="20"/>
                <w:lang w:eastAsia="uk-UA"/>
              </w:rPr>
              <w:t xml:space="preserve">Комплект мультимедійного обладнання. </w:t>
            </w:r>
          </w:p>
          <w:p w:rsidR="0060103E" w:rsidRDefault="003E7154" w:rsidP="0060103E">
            <w:pPr>
              <w:spacing w:after="0" w:line="240" w:lineRule="auto"/>
              <w:jc w:val="center"/>
              <w:rPr>
                <w:rFonts w:ascii="Times New Roman" w:eastAsia="Calibri" w:hAnsi="Times New Roman" w:cs="Times New Roman"/>
                <w:szCs w:val="20"/>
                <w:lang w:eastAsia="uk-UA"/>
              </w:rPr>
            </w:pPr>
            <w:r w:rsidRPr="003E7154">
              <w:rPr>
                <w:rFonts w:ascii="Times New Roman" w:eastAsia="Calibri" w:hAnsi="Times New Roman" w:cs="Times New Roman"/>
                <w:szCs w:val="20"/>
                <w:lang w:eastAsia="uk-UA"/>
              </w:rPr>
              <w:t>Тип 3</w:t>
            </w:r>
          </w:p>
          <w:p w:rsidR="003E7154" w:rsidRPr="0060103E" w:rsidRDefault="003E7154" w:rsidP="0060103E">
            <w:pPr>
              <w:spacing w:after="0" w:line="240" w:lineRule="auto"/>
              <w:jc w:val="center"/>
              <w:rPr>
                <w:rFonts w:ascii="Times New Roman" w:eastAsia="Calibri" w:hAnsi="Times New Roman" w:cs="Times New Roman"/>
                <w:szCs w:val="20"/>
                <w:lang w:eastAsia="uk-UA"/>
              </w:rPr>
            </w:pPr>
          </w:p>
        </w:tc>
        <w:tc>
          <w:tcPr>
            <w:tcW w:w="6379" w:type="dxa"/>
            <w:tcBorders>
              <w:top w:val="single" w:sz="4" w:space="0" w:color="auto"/>
              <w:left w:val="single" w:sz="4" w:space="0" w:color="auto"/>
              <w:bottom w:val="single" w:sz="4" w:space="0" w:color="auto"/>
              <w:right w:val="single" w:sz="4" w:space="0" w:color="auto"/>
            </w:tcBorders>
            <w:vAlign w:val="center"/>
          </w:tcPr>
          <w:p w:rsidR="003E7154" w:rsidRPr="007A631C" w:rsidRDefault="003E7154" w:rsidP="0060103E">
            <w:pPr>
              <w:spacing w:after="0" w:line="240" w:lineRule="auto"/>
              <w:jc w:val="both"/>
              <w:rPr>
                <w:rFonts w:ascii="Times New Roman" w:eastAsia="Calibri" w:hAnsi="Times New Roman" w:cs="Times New Roman"/>
                <w:b/>
                <w:szCs w:val="20"/>
                <w:lang w:eastAsia="uk-UA"/>
              </w:rPr>
            </w:pPr>
            <w:r w:rsidRPr="007A631C">
              <w:rPr>
                <w:rFonts w:ascii="Times New Roman" w:eastAsia="Calibri" w:hAnsi="Times New Roman" w:cs="Times New Roman"/>
                <w:b/>
                <w:szCs w:val="20"/>
                <w:lang w:eastAsia="uk-UA"/>
              </w:rPr>
              <w:t>Інтерактивна панель тип 2:</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мінімальна діагональ </w:t>
            </w:r>
            <w:r w:rsidRPr="0060103E">
              <w:rPr>
                <w:rFonts w:ascii="Times New Roman" w:eastAsia="Calibri" w:hAnsi="Times New Roman" w:cs="Times New Roman"/>
                <w:color w:val="000000"/>
                <w:szCs w:val="20"/>
                <w:lang w:val="ru-RU" w:eastAsia="uk-UA"/>
              </w:rPr>
              <w:t xml:space="preserve">не </w:t>
            </w:r>
            <w:proofErr w:type="spellStart"/>
            <w:r w:rsidRPr="0060103E">
              <w:rPr>
                <w:rFonts w:ascii="Times New Roman" w:eastAsia="Calibri" w:hAnsi="Times New Roman" w:cs="Times New Roman"/>
                <w:color w:val="000000"/>
                <w:szCs w:val="20"/>
                <w:lang w:val="ru-RU" w:eastAsia="uk-UA"/>
              </w:rPr>
              <w:t>менше</w:t>
            </w:r>
            <w:proofErr w:type="spellEnd"/>
            <w:r w:rsidRPr="0060103E">
              <w:rPr>
                <w:rFonts w:ascii="Times New Roman" w:eastAsia="Calibri" w:hAnsi="Times New Roman" w:cs="Times New Roman"/>
                <w:color w:val="000000"/>
                <w:szCs w:val="20"/>
                <w:lang w:val="ru-RU" w:eastAsia="uk-UA"/>
              </w:rPr>
              <w:t xml:space="preserve"> </w:t>
            </w:r>
            <w:r w:rsidRPr="0060103E">
              <w:rPr>
                <w:rFonts w:ascii="Times New Roman" w:eastAsia="Calibri" w:hAnsi="Times New Roman" w:cs="Times New Roman"/>
                <w:color w:val="000000"/>
                <w:szCs w:val="20"/>
                <w:lang w:eastAsia="uk-UA"/>
              </w:rPr>
              <w:t>65″;</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мінімальна роздільна здатність зображення 3840 × 2160 пікселів;</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дотикова технологія управління контентом за допомогою дотиків пальців руки або </w:t>
            </w:r>
            <w:proofErr w:type="spellStart"/>
            <w:r w:rsidRPr="0060103E">
              <w:rPr>
                <w:rFonts w:ascii="Times New Roman" w:eastAsia="Calibri" w:hAnsi="Times New Roman" w:cs="Times New Roman"/>
                <w:color w:val="000000"/>
                <w:szCs w:val="20"/>
                <w:lang w:eastAsia="uk-UA"/>
              </w:rPr>
              <w:t>стилуса</w:t>
            </w:r>
            <w:proofErr w:type="spellEnd"/>
            <w:r w:rsidRPr="0060103E">
              <w:rPr>
                <w:rFonts w:ascii="Times New Roman" w:eastAsia="Calibri" w:hAnsi="Times New Roman" w:cs="Times New Roman"/>
                <w:color w:val="000000"/>
                <w:szCs w:val="20"/>
                <w:lang w:eastAsia="uk-UA"/>
              </w:rPr>
              <w:t>/маркера;</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захисне, загартоване, </w:t>
            </w:r>
            <w:proofErr w:type="spellStart"/>
            <w:r w:rsidRPr="0060103E">
              <w:rPr>
                <w:rFonts w:ascii="Times New Roman" w:eastAsia="Calibri" w:hAnsi="Times New Roman" w:cs="Times New Roman"/>
                <w:color w:val="000000"/>
                <w:szCs w:val="20"/>
                <w:lang w:eastAsia="uk-UA"/>
              </w:rPr>
              <w:t>антиблікове</w:t>
            </w:r>
            <w:proofErr w:type="spellEnd"/>
            <w:r w:rsidRPr="0060103E">
              <w:rPr>
                <w:rFonts w:ascii="Times New Roman" w:eastAsia="Calibri" w:hAnsi="Times New Roman" w:cs="Times New Roman"/>
                <w:color w:val="000000"/>
                <w:szCs w:val="20"/>
                <w:lang w:eastAsia="uk-UA"/>
              </w:rPr>
              <w:t xml:space="preserve"> скло екрану;</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ресурс роботи матриці не менше 30 000 годин;</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Кількість одночасних дотиків: не менше  20</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вбудована акустична система потужністю не менше 10 Вт </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наявність зовнішніх інтерфейсів USB, VGA, HDMI та LAN (RJ45); </w:t>
            </w:r>
          </w:p>
          <w:p w:rsidR="0060103E" w:rsidRPr="007A631C" w:rsidRDefault="0060103E" w:rsidP="0060103E">
            <w:pPr>
              <w:spacing w:after="0" w:line="240" w:lineRule="auto"/>
              <w:jc w:val="both"/>
              <w:rPr>
                <w:rFonts w:ascii="Times New Roman" w:eastAsia="Calibri" w:hAnsi="Times New Roman" w:cs="Times New Roman"/>
                <w:b/>
                <w:color w:val="000000"/>
                <w:szCs w:val="20"/>
                <w:lang w:eastAsia="uk-UA"/>
              </w:rPr>
            </w:pPr>
            <w:r w:rsidRPr="007A631C">
              <w:rPr>
                <w:rFonts w:ascii="Times New Roman" w:eastAsia="Calibri" w:hAnsi="Times New Roman" w:cs="Times New Roman"/>
                <w:b/>
                <w:color w:val="000000"/>
                <w:szCs w:val="20"/>
                <w:lang w:eastAsia="uk-UA"/>
              </w:rPr>
              <w:t>мобільний стенд для транспортування в приміщенні;</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7A631C">
              <w:rPr>
                <w:rFonts w:ascii="Times New Roman" w:eastAsia="Calibri" w:hAnsi="Times New Roman" w:cs="Times New Roman"/>
                <w:b/>
                <w:color w:val="000000"/>
                <w:szCs w:val="20"/>
                <w:lang w:eastAsia="uk-UA"/>
              </w:rPr>
              <w:t>Базове програмне забезпечення для інтерактивної панелі</w:t>
            </w:r>
            <w:r w:rsidRPr="0060103E">
              <w:rPr>
                <w:rFonts w:ascii="Times New Roman" w:eastAsia="Calibri" w:hAnsi="Times New Roman" w:cs="Times New Roman"/>
                <w:color w:val="000000"/>
                <w:szCs w:val="20"/>
                <w:lang w:eastAsia="uk-UA"/>
              </w:rPr>
              <w:t xml:space="preserve"> попередньо встановлена ОС з безкоштовними оновленнями </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можливість створення, перегляду та програвання інтерактивного навчального контенту</w:t>
            </w:r>
            <w:r w:rsidR="007A631C">
              <w:rPr>
                <w:rFonts w:ascii="Times New Roman" w:eastAsia="Calibri" w:hAnsi="Times New Roman" w:cs="Times New Roman"/>
                <w:color w:val="000000"/>
                <w:szCs w:val="20"/>
                <w:lang w:eastAsia="uk-UA"/>
              </w:rPr>
              <w:t>.</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Єдиний програмний комплекс для створення, перегляду та програвання  навчального вмісту (зазначити виробника ).</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Сумісний з операційною системою </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Підтримує імпорт створених файлів різних форматів. </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Містить вбудований інструмент запису екрану з  функцією запису та збереження  робочого стола або його обраної зони. </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Містить функціонал автоматичного оновлення.</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 Містить не менше 1200 вбудованих 3D моделей освітньої тематики українською мовою. </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Містить інтерактивні інструменти для створення тестів. </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60103E">
              <w:rPr>
                <w:rFonts w:ascii="Times New Roman" w:eastAsia="Calibri" w:hAnsi="Times New Roman" w:cs="Times New Roman"/>
                <w:color w:val="000000"/>
                <w:szCs w:val="20"/>
                <w:lang w:eastAsia="uk-UA"/>
              </w:rPr>
              <w:t>cертифікатів</w:t>
            </w:r>
            <w:proofErr w:type="spellEnd"/>
            <w:r w:rsidRPr="0060103E">
              <w:rPr>
                <w:rFonts w:ascii="Times New Roman" w:eastAsia="Calibri" w:hAnsi="Times New Roman" w:cs="Times New Roman"/>
                <w:color w:val="000000"/>
                <w:szCs w:val="20"/>
                <w:lang w:eastAsia="uk-UA"/>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Містить інструменти створення та поширення власних цифрових уроків та інтерактивного контенту.</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lastRenderedPageBreak/>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Підписка (ліцензія) – не менше 1-го року</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60103E">
              <w:rPr>
                <w:rFonts w:ascii="Times New Roman" w:eastAsia="Calibri" w:hAnsi="Times New Roman" w:cs="Times New Roman"/>
                <w:color w:val="000000"/>
                <w:szCs w:val="20"/>
                <w:lang w:eastAsia="uk-UA"/>
              </w:rPr>
              <w:t>авторизаційний</w:t>
            </w:r>
            <w:proofErr w:type="spellEnd"/>
            <w:r w:rsidRPr="0060103E">
              <w:rPr>
                <w:rFonts w:ascii="Times New Roman" w:eastAsia="Calibri" w:hAnsi="Times New Roman" w:cs="Times New Roman"/>
                <w:color w:val="000000"/>
                <w:szCs w:val="20"/>
                <w:lang w:eastAsia="uk-UA"/>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rsidR="0060103E" w:rsidRPr="0060103E" w:rsidRDefault="0060103E" w:rsidP="0060103E">
            <w:pPr>
              <w:spacing w:after="0" w:line="240" w:lineRule="auto"/>
              <w:jc w:val="both"/>
              <w:rPr>
                <w:rFonts w:ascii="Times New Roman" w:eastAsia="Calibri" w:hAnsi="Times New Roman" w:cs="Times New Roman"/>
                <w:color w:val="000000"/>
                <w:szCs w:val="20"/>
                <w:lang w:eastAsia="uk-UA"/>
              </w:rPr>
            </w:pPr>
            <w:r w:rsidRPr="0060103E">
              <w:rPr>
                <w:rFonts w:ascii="Times New Roman" w:eastAsia="Calibri" w:hAnsi="Times New Roman" w:cs="Times New Roman"/>
                <w:color w:val="000000"/>
                <w:szCs w:val="20"/>
                <w:lang w:eastAsia="uk-UA"/>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rsidR="0060103E" w:rsidRPr="0060103E" w:rsidRDefault="0060103E" w:rsidP="0060103E">
            <w:pPr>
              <w:spacing w:after="0" w:line="240" w:lineRule="auto"/>
              <w:jc w:val="both"/>
              <w:rPr>
                <w:rFonts w:ascii="Times New Roman" w:eastAsia="Calibri" w:hAnsi="Times New Roman" w:cs="Calibri"/>
                <w:color w:val="000000"/>
                <w:lang w:eastAsia="uk-UA"/>
              </w:rPr>
            </w:pPr>
            <w:r w:rsidRPr="0060103E">
              <w:rPr>
                <w:rFonts w:ascii="Times New Roman" w:eastAsia="Calibri" w:hAnsi="Times New Roman" w:cs="Times New Roman"/>
                <w:color w:val="000000"/>
                <w:szCs w:val="20"/>
                <w:lang w:eastAsia="uk-UA"/>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03E" w:rsidRPr="0060103E" w:rsidRDefault="0060103E" w:rsidP="0060103E">
            <w:pPr>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lastRenderedPageBreak/>
              <w:t>21</w:t>
            </w:r>
          </w:p>
        </w:tc>
      </w:tr>
    </w:tbl>
    <w:p w:rsidR="0060103E" w:rsidRPr="0060103E" w:rsidRDefault="0060103E" w:rsidP="0060103E">
      <w:pPr>
        <w:widowControl w:val="0"/>
        <w:spacing w:after="0" w:line="240" w:lineRule="auto"/>
        <w:jc w:val="right"/>
        <w:rPr>
          <w:rFonts w:ascii="Times New Roman" w:eastAsia="Times New Roman" w:hAnsi="Times New Roman" w:cs="Times New Roman"/>
          <w:highlight w:val="yellow"/>
          <w:lang w:eastAsia="uk-UA"/>
        </w:rPr>
      </w:pPr>
    </w:p>
    <w:p w:rsidR="0060103E" w:rsidRPr="0060103E" w:rsidRDefault="0060103E" w:rsidP="0060103E">
      <w:pPr>
        <w:spacing w:after="0" w:line="259" w:lineRule="auto"/>
        <w:jc w:val="both"/>
        <w:rPr>
          <w:rFonts w:ascii="Times New Roman" w:eastAsia="Calibri" w:hAnsi="Times New Roman" w:cs="Calibri"/>
          <w:lang w:eastAsia="uk-UA"/>
        </w:rPr>
      </w:pPr>
      <w:bookmarkStart w:id="1" w:name="_Hlk163596097"/>
      <w:r w:rsidRPr="0060103E">
        <w:rPr>
          <w:rFonts w:ascii="Times New Roman" w:eastAsia="Calibri" w:hAnsi="Times New Roman" w:cs="Calibri"/>
          <w:lang w:eastAsia="uk-UA"/>
        </w:rPr>
        <w:t>1.Технічні характеристики:</w:t>
      </w:r>
    </w:p>
    <w:p w:rsidR="0060103E" w:rsidRPr="0060103E" w:rsidRDefault="0060103E" w:rsidP="0060103E">
      <w:pPr>
        <w:spacing w:after="0" w:line="259" w:lineRule="auto"/>
        <w:jc w:val="both"/>
        <w:rPr>
          <w:rFonts w:ascii="Times New Roman" w:eastAsia="Calibri" w:hAnsi="Times New Roman" w:cs="Calibri"/>
          <w:lang w:eastAsia="uk-UA"/>
        </w:rPr>
      </w:pPr>
      <w:r w:rsidRPr="0060103E">
        <w:rPr>
          <w:rFonts w:ascii="Times New Roman" w:eastAsia="Calibri" w:hAnsi="Times New Roman" w:cs="Calibri"/>
          <w:lang w:eastAsia="uk-UA"/>
        </w:rPr>
        <w:t xml:space="preserve">1.1.Товар повинен бути новим (таким, що не був у використанні). </w:t>
      </w:r>
    </w:p>
    <w:p w:rsidR="0060103E" w:rsidRPr="0060103E" w:rsidRDefault="0060103E" w:rsidP="0060103E">
      <w:pPr>
        <w:spacing w:after="0" w:line="259" w:lineRule="auto"/>
        <w:jc w:val="both"/>
        <w:rPr>
          <w:rFonts w:ascii="Times New Roman" w:eastAsia="Calibri" w:hAnsi="Times New Roman" w:cs="Calibri"/>
          <w:lang w:eastAsia="uk-UA"/>
        </w:rPr>
      </w:pPr>
      <w:r w:rsidRPr="0060103E">
        <w:rPr>
          <w:rFonts w:ascii="Times New Roman" w:eastAsia="Calibri" w:hAnsi="Times New Roman" w:cs="Calibri"/>
          <w:lang w:eastAsia="uk-UA"/>
        </w:rPr>
        <w:t>1.2. Всі основні  компоненти  товару повинні бути оригінальними, заміна компонентів на не неоригінальні забороняється.</w:t>
      </w:r>
    </w:p>
    <w:p w:rsidR="0060103E" w:rsidRPr="0060103E" w:rsidRDefault="0060103E" w:rsidP="0060103E">
      <w:pPr>
        <w:spacing w:after="0" w:line="259" w:lineRule="auto"/>
        <w:jc w:val="both"/>
        <w:rPr>
          <w:rFonts w:ascii="Times New Roman" w:eastAsia="Calibri" w:hAnsi="Times New Roman" w:cs="Calibri"/>
          <w:lang w:eastAsia="uk-UA"/>
        </w:rPr>
      </w:pPr>
      <w:r w:rsidRPr="0060103E">
        <w:rPr>
          <w:rFonts w:ascii="Times New Roman" w:eastAsia="Calibri" w:hAnsi="Times New Roman" w:cs="Calibri"/>
          <w:lang w:eastAsia="uk-UA"/>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rsidR="0060103E" w:rsidRPr="0060103E" w:rsidRDefault="0060103E" w:rsidP="0060103E">
      <w:pPr>
        <w:spacing w:after="0" w:line="259" w:lineRule="auto"/>
        <w:jc w:val="both"/>
        <w:rPr>
          <w:rFonts w:ascii="Times New Roman" w:eastAsia="Calibri" w:hAnsi="Times New Roman" w:cs="Calibri"/>
          <w:lang w:eastAsia="uk-UA"/>
        </w:rPr>
      </w:pPr>
      <w:r w:rsidRPr="0060103E">
        <w:rPr>
          <w:rFonts w:ascii="Times New Roman" w:eastAsia="Calibri" w:hAnsi="Times New Roman" w:cs="Calibri"/>
          <w:lang w:eastAsia="uk-UA"/>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60103E" w:rsidRPr="0060103E" w:rsidRDefault="0060103E" w:rsidP="0060103E">
      <w:pPr>
        <w:spacing w:after="0" w:line="259" w:lineRule="auto"/>
        <w:jc w:val="both"/>
        <w:rPr>
          <w:rFonts w:ascii="Times New Roman" w:eastAsia="Calibri" w:hAnsi="Times New Roman" w:cs="Calibri"/>
          <w:color w:val="000000"/>
          <w:lang w:eastAsia="ru-RU"/>
        </w:rPr>
      </w:pPr>
      <w:r w:rsidRPr="0060103E">
        <w:rPr>
          <w:rFonts w:ascii="Times New Roman" w:eastAsia="Calibri" w:hAnsi="Times New Roman" w:cs="Calibri"/>
          <w:color w:val="000000"/>
          <w:lang w:eastAsia="uk-UA"/>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60103E" w:rsidRPr="0060103E" w:rsidRDefault="0060103E" w:rsidP="0060103E">
      <w:pPr>
        <w:spacing w:after="0" w:line="259" w:lineRule="auto"/>
        <w:jc w:val="both"/>
        <w:rPr>
          <w:rFonts w:ascii="Times New Roman" w:eastAsia="Calibri" w:hAnsi="Times New Roman" w:cs="Calibri"/>
          <w:lang w:eastAsia="uk-UA"/>
        </w:rPr>
      </w:pPr>
      <w:r w:rsidRPr="0060103E">
        <w:rPr>
          <w:rFonts w:ascii="Times New Roman" w:eastAsia="Calibri" w:hAnsi="Times New Roman" w:cs="Calibri"/>
          <w:lang w:eastAsia="uk-UA"/>
        </w:rPr>
        <w:t xml:space="preserve">2.2 Копію сертифікату відповідності на інтерактивну панель </w:t>
      </w:r>
      <w:r w:rsidRPr="0060103E">
        <w:rPr>
          <w:rFonts w:ascii="Times New Roman" w:eastAsia="Calibri" w:hAnsi="Times New Roman" w:cs="Calibri"/>
          <w:lang w:val="ru-RU" w:eastAsia="uk-UA"/>
        </w:rPr>
        <w:t xml:space="preserve">– </w:t>
      </w:r>
      <w:r w:rsidRPr="0060103E">
        <w:rPr>
          <w:rFonts w:ascii="Times New Roman" w:eastAsia="Calibri" w:hAnsi="Times New Roman" w:cs="Calibri"/>
          <w:lang w:eastAsia="uk-UA"/>
        </w:rPr>
        <w:t xml:space="preserve">видану уповноваженим органом із сертифікації </w:t>
      </w:r>
    </w:p>
    <w:p w:rsidR="0060103E" w:rsidRPr="0060103E" w:rsidRDefault="0060103E" w:rsidP="0060103E">
      <w:pPr>
        <w:spacing w:after="0" w:line="259" w:lineRule="auto"/>
        <w:jc w:val="both"/>
        <w:rPr>
          <w:rFonts w:ascii="Times New Roman" w:eastAsia="Calibri" w:hAnsi="Times New Roman" w:cs="Calibri"/>
          <w:lang w:eastAsia="uk-UA"/>
        </w:rPr>
      </w:pPr>
      <w:r w:rsidRPr="0060103E">
        <w:rPr>
          <w:rFonts w:ascii="Times New Roman" w:eastAsia="Calibri" w:hAnsi="Times New Roman" w:cs="Calibri"/>
          <w:lang w:eastAsia="uk-UA"/>
        </w:rPr>
        <w:lastRenderedPageBreak/>
        <w:t>2.3.</w:t>
      </w:r>
      <w:r w:rsidRPr="0060103E">
        <w:rPr>
          <w:rFonts w:ascii="Calibri" w:eastAsia="Calibri" w:hAnsi="Calibri" w:cs="Calibri"/>
          <w:lang w:eastAsia="uk-UA"/>
        </w:rPr>
        <w:t xml:space="preserve"> </w:t>
      </w:r>
      <w:proofErr w:type="spellStart"/>
      <w:r w:rsidRPr="0060103E">
        <w:rPr>
          <w:rFonts w:ascii="Times New Roman" w:eastAsia="Calibri" w:hAnsi="Times New Roman" w:cs="Calibri"/>
          <w:lang w:eastAsia="uk-UA"/>
        </w:rPr>
        <w:t>Авторизаційний</w:t>
      </w:r>
      <w:proofErr w:type="spellEnd"/>
      <w:r w:rsidRPr="0060103E">
        <w:rPr>
          <w:rFonts w:ascii="Times New Roman" w:eastAsia="Calibri" w:hAnsi="Times New Roman" w:cs="Calibri"/>
          <w:lang w:eastAsia="uk-UA"/>
        </w:rPr>
        <w:t xml:space="preserve"> лист від виробника інтерактивної панелі з вказанням назви замовника та номеру закупівлі.</w:t>
      </w:r>
    </w:p>
    <w:p w:rsidR="0060103E" w:rsidRPr="0060103E" w:rsidRDefault="0060103E" w:rsidP="0060103E">
      <w:pPr>
        <w:spacing w:after="0" w:line="259" w:lineRule="auto"/>
        <w:jc w:val="both"/>
        <w:rPr>
          <w:rFonts w:ascii="Times New Roman" w:eastAsia="Calibri" w:hAnsi="Times New Roman" w:cs="Calibri"/>
          <w:lang w:eastAsia="uk-UA"/>
        </w:rPr>
      </w:pPr>
      <w:r w:rsidRPr="0060103E">
        <w:rPr>
          <w:rFonts w:ascii="Times New Roman" w:eastAsia="Calibri" w:hAnsi="Times New Roman" w:cs="Calibri"/>
          <w:lang w:eastAsia="uk-UA"/>
        </w:rPr>
        <w:t>2.4. Копію декларації про відповідність технічному регламенту з електромагнітної сумісності обладнання та копію декларації про відповідність технічному регламенту низьковольтного електричного обладнання (декларації мають містити печатку та підпис органу з оцінки відповідності) на інтерактивну панель</w:t>
      </w:r>
    </w:p>
    <w:p w:rsidR="0060103E" w:rsidRPr="0060103E" w:rsidRDefault="0060103E" w:rsidP="0060103E">
      <w:pPr>
        <w:spacing w:after="0" w:line="259" w:lineRule="auto"/>
        <w:jc w:val="both"/>
        <w:rPr>
          <w:rFonts w:ascii="Times New Roman" w:eastAsia="Calibri" w:hAnsi="Times New Roman" w:cs="Calibri"/>
          <w:lang w:eastAsia="uk-UA"/>
        </w:rPr>
      </w:pPr>
      <w:r w:rsidRPr="0060103E">
        <w:rPr>
          <w:rFonts w:ascii="Times New Roman" w:eastAsia="Calibri" w:hAnsi="Times New Roman" w:cs="Calibri"/>
          <w:lang w:eastAsia="uk-UA"/>
        </w:rPr>
        <w:t>2.5. Гарантійний лист про надання гарантії на все обладнання строком не менше 12 місяців.</w:t>
      </w:r>
    </w:p>
    <w:p w:rsidR="0060103E" w:rsidRPr="0060103E" w:rsidRDefault="0060103E" w:rsidP="0060103E">
      <w:pPr>
        <w:spacing w:after="0" w:line="259" w:lineRule="auto"/>
        <w:jc w:val="both"/>
        <w:rPr>
          <w:rFonts w:ascii="Times New Roman" w:eastAsia="Calibri" w:hAnsi="Times New Roman" w:cs="Calibri"/>
          <w:lang w:eastAsia="uk-UA"/>
        </w:rPr>
      </w:pPr>
      <w:r w:rsidRPr="0060103E">
        <w:rPr>
          <w:rFonts w:ascii="Times New Roman" w:eastAsia="Calibri" w:hAnsi="Times New Roman" w:cs="Calibri"/>
          <w:lang w:eastAsia="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60103E" w:rsidRPr="0060103E" w:rsidRDefault="0060103E" w:rsidP="0060103E">
      <w:pPr>
        <w:spacing w:after="0" w:line="259" w:lineRule="auto"/>
        <w:jc w:val="both"/>
        <w:rPr>
          <w:rFonts w:ascii="Times New Roman" w:eastAsia="Calibri" w:hAnsi="Times New Roman" w:cs="Calibri"/>
          <w:i/>
          <w:lang w:eastAsia="uk-UA"/>
        </w:rPr>
      </w:pPr>
    </w:p>
    <w:p w:rsidR="0060103E" w:rsidRPr="0060103E" w:rsidRDefault="0060103E" w:rsidP="0060103E">
      <w:pPr>
        <w:spacing w:after="0" w:line="259" w:lineRule="auto"/>
        <w:ind w:firstLine="720"/>
        <w:jc w:val="both"/>
        <w:rPr>
          <w:rFonts w:ascii="Times New Roman" w:eastAsia="Calibri" w:hAnsi="Times New Roman" w:cs="Calibri"/>
          <w:i/>
          <w:lang w:eastAsia="uk-UA"/>
        </w:rPr>
      </w:pPr>
      <w:r w:rsidRPr="0060103E">
        <w:rPr>
          <w:rFonts w:ascii="Times New Roman" w:eastAsia="Calibri" w:hAnsi="Times New Roman" w:cs="Calibri"/>
          <w:i/>
          <w:lang w:eastAsia="uk-UA"/>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60103E" w:rsidRPr="0060103E" w:rsidRDefault="0060103E" w:rsidP="0060103E">
      <w:pPr>
        <w:spacing w:after="160" w:line="259" w:lineRule="auto"/>
        <w:ind w:firstLine="720"/>
        <w:jc w:val="both"/>
        <w:rPr>
          <w:rFonts w:ascii="Times New Roman" w:eastAsia="Calibri" w:hAnsi="Times New Roman" w:cs="Calibri"/>
          <w:i/>
          <w:lang w:eastAsia="uk-UA"/>
        </w:rPr>
      </w:pPr>
      <w:r w:rsidRPr="0060103E">
        <w:rPr>
          <w:rFonts w:ascii="Times New Roman" w:eastAsia="Calibri" w:hAnsi="Times New Roman" w:cs="Calibri"/>
          <w:i/>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bookmarkEnd w:id="1"/>
    <w:p w:rsidR="0097659E" w:rsidRDefault="0097659E"/>
    <w:sectPr w:rsidR="009765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3E"/>
    <w:rsid w:val="003E7154"/>
    <w:rsid w:val="0060103E"/>
    <w:rsid w:val="007A631C"/>
    <w:rsid w:val="0097659E"/>
    <w:rsid w:val="00E1019D"/>
    <w:rsid w:val="00E216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k21.dovidnyk.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4617</Words>
  <Characters>2633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2024-04-29T06:23:00Z</dcterms:created>
  <dcterms:modified xsi:type="dcterms:W3CDTF">2024-04-29T11:04:00Z</dcterms:modified>
</cp:coreProperties>
</file>