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4C9FCD49" w14:textId="2993381F" w:rsidR="00524918" w:rsidRDefault="00524918">
      <w:pPr>
        <w:jc w:val="right"/>
        <w:rPr>
          <w:b/>
        </w:rPr>
      </w:pPr>
    </w:p>
    <w:p w14:paraId="0FDCC57F" w14:textId="23915083" w:rsidR="00524918" w:rsidRDefault="00524918">
      <w:pPr>
        <w:jc w:val="right"/>
        <w:rPr>
          <w:b/>
        </w:rPr>
      </w:pPr>
    </w:p>
    <w:p w14:paraId="18CA6DFC" w14:textId="28EA1F76" w:rsidR="00524918" w:rsidRDefault="00524918">
      <w:pPr>
        <w:jc w:val="right"/>
        <w:rPr>
          <w:b/>
        </w:rPr>
      </w:pPr>
    </w:p>
    <w:p w14:paraId="142B08D3" w14:textId="51FE33D5" w:rsidR="00F6594D" w:rsidRDefault="00F6594D">
      <w:pPr>
        <w:jc w:val="right"/>
        <w:rPr>
          <w:b/>
        </w:rPr>
      </w:pPr>
    </w:p>
    <w:p w14:paraId="0FD33EBD" w14:textId="77777777" w:rsidR="00D97BE7" w:rsidRPr="00276F10" w:rsidRDefault="001A30CD" w:rsidP="007A49D5">
      <w:pPr>
        <w:pBdr>
          <w:top w:val="nil"/>
          <w:left w:val="nil"/>
          <w:bottom w:val="nil"/>
          <w:right w:val="nil"/>
          <w:between w:val="nil"/>
        </w:pBdr>
        <w:tabs>
          <w:tab w:val="left" w:pos="8880"/>
        </w:tabs>
        <w:ind w:left="-284" w:right="141" w:firstLine="710"/>
        <w:jc w:val="right"/>
        <w:rPr>
          <w:b/>
          <w:color w:val="000000"/>
        </w:rPr>
      </w:pPr>
      <w:r w:rsidRPr="00276F10">
        <w:rPr>
          <w:b/>
          <w:color w:val="000000"/>
        </w:rPr>
        <w:t>Додаток 4</w:t>
      </w:r>
    </w:p>
    <w:p w14:paraId="361A8C83" w14:textId="77777777" w:rsidR="00D97BE7" w:rsidRPr="00276F10" w:rsidRDefault="001A30CD">
      <w:pPr>
        <w:pBdr>
          <w:top w:val="nil"/>
          <w:left w:val="nil"/>
          <w:bottom w:val="nil"/>
          <w:right w:val="nil"/>
          <w:between w:val="nil"/>
        </w:pBdr>
        <w:ind w:left="-284" w:right="141" w:firstLine="710"/>
        <w:jc w:val="right"/>
        <w:rPr>
          <w:color w:val="000000"/>
        </w:rPr>
      </w:pPr>
      <w:r w:rsidRPr="00276F10">
        <w:rPr>
          <w:b/>
          <w:color w:val="000000"/>
        </w:rPr>
        <w:t>до тендерної документації</w:t>
      </w:r>
    </w:p>
    <w:p w14:paraId="338D4BBE" w14:textId="77777777" w:rsidR="00D97BE7" w:rsidRPr="00276F10" w:rsidRDefault="00D97BE7">
      <w:pPr>
        <w:pBdr>
          <w:top w:val="nil"/>
          <w:left w:val="nil"/>
          <w:bottom w:val="nil"/>
          <w:right w:val="nil"/>
          <w:between w:val="nil"/>
        </w:pBdr>
        <w:ind w:left="-284"/>
        <w:rPr>
          <w:b/>
          <w:sz w:val="26"/>
          <w:szCs w:val="26"/>
        </w:rPr>
      </w:pPr>
    </w:p>
    <w:p w14:paraId="5783E14C" w14:textId="53BD8D2F" w:rsidR="00D97BE7" w:rsidRPr="00276F10" w:rsidRDefault="001A30CD" w:rsidP="0045567E">
      <w:pPr>
        <w:pBdr>
          <w:top w:val="nil"/>
          <w:left w:val="nil"/>
          <w:bottom w:val="nil"/>
          <w:right w:val="nil"/>
          <w:between w:val="nil"/>
        </w:pBdr>
        <w:ind w:firstLine="284"/>
        <w:jc w:val="center"/>
        <w:rPr>
          <w:b/>
          <w:sz w:val="26"/>
          <w:szCs w:val="26"/>
        </w:rPr>
      </w:pPr>
      <w:r w:rsidRPr="00276F10">
        <w:rPr>
          <w:b/>
          <w:sz w:val="26"/>
          <w:szCs w:val="26"/>
        </w:rPr>
        <w:t xml:space="preserve">Перелік інформації  для підтвердження відсутності підстав для відхилення </w:t>
      </w:r>
      <w:r w:rsidR="00F6594D">
        <w:rPr>
          <w:b/>
          <w:sz w:val="26"/>
          <w:szCs w:val="26"/>
        </w:rPr>
        <w:t xml:space="preserve">(п. 44 Особливостей) </w:t>
      </w:r>
      <w:r w:rsidRPr="00276F10">
        <w:rPr>
          <w:b/>
          <w:sz w:val="26"/>
          <w:szCs w:val="26"/>
          <w:u w:val="single"/>
        </w:rPr>
        <w:t>учасника</w:t>
      </w:r>
      <w:r w:rsidRPr="00276F10">
        <w:rPr>
          <w:b/>
          <w:sz w:val="26"/>
          <w:szCs w:val="26"/>
        </w:rPr>
        <w:t xml:space="preserve"> відповідно до  вимог, визначених у частині 1 та 2 статті 17 Закону</w:t>
      </w:r>
      <w:r w:rsidR="00F6594D">
        <w:rPr>
          <w:b/>
          <w:sz w:val="26"/>
          <w:szCs w:val="26"/>
        </w:rPr>
        <w:t xml:space="preserve"> згідно п. 28 Особливостей)</w:t>
      </w:r>
      <w:r w:rsidRPr="00276F10">
        <w:rPr>
          <w:b/>
          <w:sz w:val="26"/>
          <w:szCs w:val="26"/>
        </w:rPr>
        <w:t>.</w:t>
      </w:r>
    </w:p>
    <w:p w14:paraId="7967011D" w14:textId="77777777" w:rsidR="00D97BE7" w:rsidRPr="00276F10" w:rsidRDefault="00D97BE7" w:rsidP="0045567E">
      <w:pPr>
        <w:pBdr>
          <w:top w:val="nil"/>
          <w:left w:val="nil"/>
          <w:bottom w:val="nil"/>
          <w:right w:val="nil"/>
          <w:between w:val="nil"/>
        </w:pBdr>
        <w:ind w:firstLine="284"/>
        <w:jc w:val="both"/>
        <w:rPr>
          <w:sz w:val="16"/>
          <w:szCs w:val="16"/>
        </w:rPr>
      </w:pPr>
    </w:p>
    <w:p w14:paraId="7FA2B3F0" w14:textId="14ABACC3" w:rsidR="00D97BE7" w:rsidRPr="00276F10" w:rsidRDefault="001A30CD" w:rsidP="0045567E">
      <w:pPr>
        <w:pBdr>
          <w:top w:val="nil"/>
          <w:left w:val="nil"/>
          <w:bottom w:val="nil"/>
          <w:right w:val="nil"/>
          <w:between w:val="nil"/>
        </w:pBdr>
        <w:ind w:firstLine="284"/>
        <w:jc w:val="both"/>
      </w:pPr>
      <w:r w:rsidRPr="00276F10">
        <w:t xml:space="preserve">Поданням своєї тендерної пропозиції для участі в даній закупівлі </w:t>
      </w:r>
      <w:r w:rsidR="0045567E" w:rsidRPr="00276F10">
        <w:t>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F2DB9D7" w14:textId="77777777" w:rsidR="00D97BE7" w:rsidRPr="00276F10" w:rsidRDefault="001A30CD" w:rsidP="0045567E">
      <w:pPr>
        <w:pBdr>
          <w:top w:val="nil"/>
          <w:left w:val="nil"/>
          <w:bottom w:val="nil"/>
          <w:right w:val="nil"/>
          <w:between w:val="nil"/>
        </w:pBdr>
        <w:ind w:firstLine="426"/>
        <w:jc w:val="both"/>
      </w:pPr>
      <w:r w:rsidRPr="00276F10">
        <w:t xml:space="preserve">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9">
        <w:r w:rsidRPr="00276F10">
          <w:rPr>
            <w:u w:val="single"/>
          </w:rPr>
          <w:t>Законом України</w:t>
        </w:r>
      </w:hyperlink>
      <w:r w:rsidRPr="00276F10">
        <w:t xml:space="preserve"> "Про доступ до публічної інформації", та/або міститься у відкритих єдиних державних реєстрах, доступ до яких є вільним.</w:t>
      </w:r>
    </w:p>
    <w:p w14:paraId="383F3530" w14:textId="77777777" w:rsidR="00D97BE7" w:rsidRPr="00276F10" w:rsidRDefault="00D97BE7" w:rsidP="0045567E">
      <w:pPr>
        <w:pBdr>
          <w:top w:val="nil"/>
          <w:left w:val="nil"/>
          <w:bottom w:val="nil"/>
          <w:right w:val="nil"/>
          <w:between w:val="nil"/>
        </w:pBdr>
        <w:ind w:firstLine="426"/>
        <w:jc w:val="both"/>
        <w:rPr>
          <w:sz w:val="10"/>
          <w:szCs w:val="10"/>
        </w:rPr>
      </w:pPr>
    </w:p>
    <w:p w14:paraId="1911984C" w14:textId="77777777" w:rsidR="00D97BE7" w:rsidRPr="00276F10" w:rsidRDefault="001A30CD" w:rsidP="0045567E">
      <w:pPr>
        <w:pBdr>
          <w:top w:val="nil"/>
          <w:left w:val="nil"/>
          <w:bottom w:val="nil"/>
          <w:right w:val="nil"/>
          <w:between w:val="nil"/>
        </w:pBdr>
        <w:ind w:firstLine="710"/>
        <w:jc w:val="both"/>
      </w:pPr>
      <w:r w:rsidRPr="00276F10">
        <w:t xml:space="preserve">У випадку, якщо учасником процедури закупівлі є об’єднання учасників, то додатково  </w:t>
      </w:r>
      <w:r w:rsidRPr="00276F10">
        <w:rPr>
          <w:b/>
        </w:rPr>
        <w:t>кожним з учасників такого об’єднання</w:t>
      </w:r>
      <w:r w:rsidRPr="00276F10">
        <w:t xml:space="preserve"> </w:t>
      </w:r>
      <w:r w:rsidRPr="00276F10">
        <w:rPr>
          <w:b/>
          <w:u w:val="single"/>
        </w:rPr>
        <w:t>надається окрема довідка в довільній формі</w:t>
      </w:r>
      <w:r w:rsidRPr="00276F10">
        <w:t xml:space="preserve">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статті 17 та частині 15 статті 29 Закону. </w:t>
      </w:r>
    </w:p>
    <w:p w14:paraId="530C48CA" w14:textId="77777777" w:rsidR="00D97BE7" w:rsidRPr="00276F10" w:rsidRDefault="001A30CD" w:rsidP="0045567E">
      <w:pPr>
        <w:pBdr>
          <w:top w:val="nil"/>
          <w:left w:val="nil"/>
          <w:bottom w:val="nil"/>
          <w:right w:val="nil"/>
          <w:between w:val="nil"/>
        </w:pBdr>
        <w:ind w:firstLine="710"/>
        <w:jc w:val="both"/>
      </w:pPr>
      <w:r w:rsidRPr="00276F10">
        <w:t>Довідка складається за підписом уповноваженої особи або керівника у</w:t>
      </w:r>
      <w:r w:rsidRPr="00276F10">
        <w:rPr>
          <w:b/>
        </w:rPr>
        <w:t>часника такого об'єднання</w:t>
      </w:r>
      <w:r w:rsidRPr="00276F10">
        <w:t xml:space="preserve"> та надається у вигляді сканованої копії, разом з документами, що підтверджують повноваження підписанта. </w:t>
      </w:r>
    </w:p>
    <w:p w14:paraId="354BA600" w14:textId="77777777" w:rsidR="00D97BE7" w:rsidRPr="00276F10" w:rsidRDefault="001A30CD" w:rsidP="0045567E">
      <w:pPr>
        <w:pBdr>
          <w:top w:val="nil"/>
          <w:left w:val="nil"/>
          <w:bottom w:val="nil"/>
          <w:right w:val="nil"/>
          <w:between w:val="nil"/>
        </w:pBdr>
        <w:spacing w:before="240" w:after="240"/>
        <w:ind w:firstLine="710"/>
        <w:jc w:val="both"/>
        <w:rPr>
          <w:u w:val="single"/>
        </w:rPr>
      </w:pPr>
      <w:r w:rsidRPr="00276F10">
        <w:rPr>
          <w:b/>
          <w:u w:val="single"/>
        </w:rPr>
        <w:t>Щодо підстави, визначеної у частині другій статті 17 Закону</w:t>
      </w:r>
      <w:r w:rsidRPr="00276F10">
        <w:rPr>
          <w:u w:val="single"/>
        </w:rPr>
        <w:t>.</w:t>
      </w:r>
    </w:p>
    <w:p w14:paraId="322C0EAA" w14:textId="77777777" w:rsidR="00D97BE7" w:rsidRPr="00276F10" w:rsidRDefault="001A30CD" w:rsidP="0045567E">
      <w:pPr>
        <w:pBdr>
          <w:top w:val="nil"/>
          <w:left w:val="nil"/>
          <w:bottom w:val="nil"/>
          <w:right w:val="nil"/>
          <w:between w:val="nil"/>
        </w:pBdr>
        <w:spacing w:before="240" w:after="240"/>
        <w:ind w:firstLine="710"/>
        <w:jc w:val="both"/>
        <w:rPr>
          <w:i/>
        </w:rPr>
      </w:pPr>
      <w:r w:rsidRPr="00276F10">
        <w:rPr>
          <w:i/>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F3B603B" w14:textId="77777777" w:rsidR="00D97BE7" w:rsidRPr="00276F10" w:rsidRDefault="001A30CD" w:rsidP="0045567E">
      <w:pPr>
        <w:pBdr>
          <w:top w:val="nil"/>
          <w:left w:val="nil"/>
          <w:bottom w:val="nil"/>
          <w:right w:val="nil"/>
          <w:between w:val="nil"/>
        </w:pBdr>
        <w:spacing w:before="240" w:after="240"/>
        <w:ind w:firstLine="710"/>
        <w:jc w:val="both"/>
        <w:rPr>
          <w:i/>
        </w:rPr>
      </w:pPr>
      <w:r w:rsidRPr="00276F10">
        <w:rPr>
          <w:i/>
        </w:rPr>
        <w:t xml:space="preserve">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bookmarkStart w:id="0" w:name="_GoBack"/>
      <w:bookmarkEnd w:id="0"/>
    </w:p>
    <w:sectPr w:rsidR="00D97BE7" w:rsidRPr="00276F10" w:rsidSect="0045567E">
      <w:headerReference w:type="default" r:id="rId10"/>
      <w:footerReference w:type="default" r:id="rId11"/>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70B2" w14:textId="77777777" w:rsidR="00FE46E0" w:rsidRDefault="00FE46E0">
      <w:r>
        <w:separator/>
      </w:r>
    </w:p>
  </w:endnote>
  <w:endnote w:type="continuationSeparator" w:id="0">
    <w:p w14:paraId="5D1EF749" w14:textId="77777777" w:rsidR="00FE46E0" w:rsidRDefault="00FE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3162" w14:textId="77777777" w:rsidR="00FE46E0" w:rsidRDefault="00FE46E0">
      <w:r>
        <w:separator/>
      </w:r>
    </w:p>
  </w:footnote>
  <w:footnote w:type="continuationSeparator" w:id="0">
    <w:p w14:paraId="717FEB02" w14:textId="77777777" w:rsidR="00FE46E0" w:rsidRDefault="00FE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26346727"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DE15E3">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5E3"/>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46E0"/>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F2D411-7307-469C-BD59-DC37A2AE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356</Words>
  <Characters>2033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22</cp:revision>
  <dcterms:created xsi:type="dcterms:W3CDTF">2023-03-17T10:03:00Z</dcterms:created>
  <dcterms:modified xsi:type="dcterms:W3CDTF">2023-03-20T08:25:00Z</dcterms:modified>
</cp:coreProperties>
</file>