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181453">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8376FE" w:rsidRPr="008376FE">
        <w:rPr>
          <w:rFonts w:ascii="Times New Roman" w:hAnsi="Times New Roman" w:cs="Times New Roman"/>
          <w:b/>
          <w:color w:val="000000"/>
          <w:sz w:val="24"/>
          <w:szCs w:val="24"/>
          <w:lang w:val="uk-UA"/>
        </w:rPr>
        <w:t>Біноклі, код ДК 021:2015: 38630000-0 — Астрономічні та оптичні прилади (38631000-7— Біноклі)</w:t>
      </w:r>
      <w:r w:rsidR="00181453" w:rsidRPr="00181453">
        <w:rPr>
          <w:rFonts w:ascii="Times New Roman" w:hAnsi="Times New Roman" w:cs="Times New Roman"/>
          <w:b/>
          <w:color w:val="000000"/>
          <w:sz w:val="24"/>
          <w:szCs w:val="24"/>
          <w:lang w:val="uk-UA"/>
        </w:rPr>
        <w:t xml:space="preserve"> </w:t>
      </w:r>
      <w:r w:rsidR="00B809BD" w:rsidRPr="00B809BD">
        <w:rPr>
          <w:rFonts w:ascii="Times New Roman" w:hAnsi="Times New Roman" w:cs="Times New Roman"/>
          <w:b/>
          <w:color w:val="000000"/>
          <w:sz w:val="24"/>
          <w:szCs w:val="24"/>
          <w:lang w:val="uk-UA"/>
        </w:rPr>
        <w:t xml:space="preserve"> </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lastRenderedPageBreak/>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 </w:t>
      </w:r>
      <w:proofErr w:type="spellStart"/>
      <w:r w:rsidRPr="00830CFD">
        <w:rPr>
          <w:rFonts w:ascii="Times New Roman" w:eastAsia="Times New Roman" w:hAnsi="Times New Roman" w:cs="Times New Roman"/>
          <w:kern w:val="1"/>
          <w:sz w:val="24"/>
          <w:szCs w:val="24"/>
          <w:lang w:eastAsia="ar-SA"/>
        </w:rPr>
        <w:t>дефектним</w:t>
      </w:r>
      <w:proofErr w:type="spellEnd"/>
      <w:r w:rsidRPr="00830CFD">
        <w:rPr>
          <w:rFonts w:ascii="Times New Roman" w:eastAsia="Times New Roman" w:hAnsi="Times New Roman" w:cs="Times New Roman"/>
          <w:kern w:val="1"/>
          <w:sz w:val="24"/>
          <w:szCs w:val="24"/>
          <w:lang w:eastAsia="ar-SA"/>
        </w:rPr>
        <w:t xml:space="preserve"> актом,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38118F">
        <w:rPr>
          <w:rFonts w:ascii="Times New Roman" w:hAnsi="Times New Roman" w:cs="Times New Roman"/>
          <w:sz w:val="24"/>
          <w:szCs w:val="24"/>
          <w:lang w:val="uk-UA"/>
        </w:rPr>
        <w:t>3</w:t>
      </w:r>
      <w:r w:rsidR="008376FE">
        <w:rPr>
          <w:rFonts w:ascii="Times New Roman" w:hAnsi="Times New Roman" w:cs="Times New Roman"/>
          <w:sz w:val="24"/>
          <w:szCs w:val="24"/>
          <w:lang w:val="uk-UA"/>
        </w:rPr>
        <w:t>0</w:t>
      </w:r>
      <w:r w:rsidR="000F6AED" w:rsidRPr="000F6AED">
        <w:rPr>
          <w:rFonts w:ascii="Times New Roman" w:hAnsi="Times New Roman" w:cs="Times New Roman"/>
          <w:sz w:val="24"/>
          <w:szCs w:val="24"/>
          <w:lang w:val="uk-UA"/>
        </w:rPr>
        <w:t>.1</w:t>
      </w:r>
      <w:r w:rsidR="00A83C8E">
        <w:rPr>
          <w:rFonts w:ascii="Times New Roman" w:hAnsi="Times New Roman" w:cs="Times New Roman"/>
          <w:sz w:val="24"/>
          <w:szCs w:val="24"/>
          <w:lang w:val="uk-UA"/>
        </w:rPr>
        <w:t>1</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0" w:name="o3255"/>
      <w:bookmarkEnd w:id="0"/>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1" w:name="o3260"/>
      <w:bookmarkEnd w:id="1"/>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7.4. Сторона, що має намір посилатися на обставини непереборної сили, повинна </w:t>
      </w:r>
      <w:r w:rsidRPr="00821EBD">
        <w:rPr>
          <w:rFonts w:ascii="Times New Roman" w:hAnsi="Times New Roman" w:cs="Times New Roman"/>
          <w:bCs/>
          <w:kern w:val="3"/>
          <w:sz w:val="24"/>
          <w:szCs w:val="24"/>
          <w:lang w:val="uk-UA" w:eastAsia="zh-CN"/>
        </w:rPr>
        <w:lastRenderedPageBreak/>
        <w:t>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21EBD">
        <w:rPr>
          <w:rFonts w:ascii="Times New Roman" w:hAnsi="Times New Roman" w:cs="Times New Roman"/>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6F3D23" w:rsidRPr="006F3D23">
              <w:rPr>
                <w:rFonts w:ascii="Times New Roman" w:eastAsia="Times New Roman" w:hAnsi="Times New Roman" w:cs="Times New Roman"/>
                <w:sz w:val="24"/>
                <w:szCs w:val="24"/>
                <w:lang w:val="uk-UA"/>
              </w:rPr>
              <w:t>878201720344280016000041357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9859" w:type="dxa"/>
        <w:jc w:val="center"/>
        <w:tblLayout w:type="fixed"/>
        <w:tblLook w:val="0000" w:firstRow="0" w:lastRow="0" w:firstColumn="0" w:lastColumn="0" w:noHBand="0" w:noVBand="0"/>
      </w:tblPr>
      <w:tblGrid>
        <w:gridCol w:w="704"/>
        <w:gridCol w:w="1984"/>
        <w:gridCol w:w="1250"/>
        <w:gridCol w:w="1276"/>
        <w:gridCol w:w="1417"/>
        <w:gridCol w:w="1559"/>
        <w:gridCol w:w="1669"/>
      </w:tblGrid>
      <w:tr w:rsidR="008376FE" w:rsidRPr="009B0AA1" w:rsidTr="00F26554">
        <w:trPr>
          <w:trHeight w:val="1312"/>
          <w:jc w:val="center"/>
        </w:trPr>
        <w:tc>
          <w:tcPr>
            <w:tcW w:w="70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з/п</w:t>
            </w:r>
          </w:p>
        </w:tc>
        <w:tc>
          <w:tcPr>
            <w:tcW w:w="198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Од. виміру</w:t>
            </w:r>
          </w:p>
        </w:tc>
        <w:tc>
          <w:tcPr>
            <w:tcW w:w="1276"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Кількість</w:t>
            </w: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без ПДВ, грн.</w:t>
            </w: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з ПДВ, грн.</w:t>
            </w:r>
          </w:p>
        </w:tc>
        <w:tc>
          <w:tcPr>
            <w:tcW w:w="1669" w:type="dxa"/>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Вартість товару </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без ПДВ,</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 грн.</w:t>
            </w:r>
          </w:p>
        </w:tc>
      </w:tr>
      <w:tr w:rsidR="008376FE" w:rsidRPr="009B0AA1" w:rsidTr="00F26554">
        <w:trPr>
          <w:trHeight w:val="601"/>
          <w:jc w:val="center"/>
        </w:trPr>
        <w:tc>
          <w:tcPr>
            <w:tcW w:w="70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98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ind w:right="-129"/>
              <w:jc w:val="center"/>
              <w:rPr>
                <w:rFonts w:ascii="Times New Roman" w:eastAsia="Calibri" w:hAnsi="Times New Roman" w:cs="Times New Roman"/>
                <w:sz w:val="24"/>
                <w:szCs w:val="24"/>
                <w:lang w:val="uk-UA" w:eastAsia="ar-SA"/>
              </w:rPr>
            </w:pPr>
          </w:p>
        </w:tc>
        <w:tc>
          <w:tcPr>
            <w:tcW w:w="1250"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276"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8376FE" w:rsidRPr="009B0AA1" w:rsidTr="00F26554">
        <w:trPr>
          <w:trHeight w:val="314"/>
          <w:jc w:val="center"/>
        </w:trPr>
        <w:tc>
          <w:tcPr>
            <w:tcW w:w="8190" w:type="dxa"/>
            <w:gridSpan w:val="6"/>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Вартість, без ПДВ, грн.:</w:t>
            </w:r>
          </w:p>
        </w:tc>
        <w:tc>
          <w:tcPr>
            <w:tcW w:w="1669" w:type="dxa"/>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8376FE" w:rsidRPr="009B0AA1" w:rsidTr="00F26554">
        <w:trPr>
          <w:trHeight w:val="288"/>
          <w:jc w:val="center"/>
        </w:trPr>
        <w:tc>
          <w:tcPr>
            <w:tcW w:w="8190" w:type="dxa"/>
            <w:gridSpan w:val="6"/>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ПДВ, грн.:</w:t>
            </w:r>
          </w:p>
        </w:tc>
        <w:tc>
          <w:tcPr>
            <w:tcW w:w="1669" w:type="dxa"/>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8376FE" w:rsidRPr="009B0AA1" w:rsidTr="00F26554">
        <w:trPr>
          <w:trHeight w:val="410"/>
          <w:jc w:val="center"/>
        </w:trPr>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right"/>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РАЗОМ з ПДВ, грн.:</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bookmarkStart w:id="2" w:name="_GoBack"/>
      <w:bookmarkEnd w:id="2"/>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181453">
              <w:rPr>
                <w:rFonts w:ascii="Times New Roman" w:eastAsia="Times New Roman" w:hAnsi="Times New Roman" w:cs="Times New Roman"/>
                <w:sz w:val="24"/>
                <w:szCs w:val="24"/>
                <w:lang w:val="uk-UA"/>
              </w:rPr>
              <w:t>8782017203442800160000</w:t>
            </w:r>
            <w:r w:rsidR="0038118F" w:rsidRPr="0038118F">
              <w:rPr>
                <w:rFonts w:ascii="Times New Roman" w:eastAsia="Times New Roman" w:hAnsi="Times New Roman" w:cs="Times New Roman"/>
                <w:sz w:val="24"/>
                <w:szCs w:val="24"/>
                <w:lang w:val="uk-UA"/>
              </w:rPr>
              <w:t>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81453"/>
    <w:rsid w:val="00182E10"/>
    <w:rsid w:val="001B15D7"/>
    <w:rsid w:val="00282B8B"/>
    <w:rsid w:val="00285446"/>
    <w:rsid w:val="002F14F3"/>
    <w:rsid w:val="0030640E"/>
    <w:rsid w:val="00314447"/>
    <w:rsid w:val="0034579A"/>
    <w:rsid w:val="00361656"/>
    <w:rsid w:val="0036183D"/>
    <w:rsid w:val="0038118F"/>
    <w:rsid w:val="003B56D0"/>
    <w:rsid w:val="003C54EE"/>
    <w:rsid w:val="003F47E4"/>
    <w:rsid w:val="004E5B65"/>
    <w:rsid w:val="005602F7"/>
    <w:rsid w:val="005E6F1D"/>
    <w:rsid w:val="00607D16"/>
    <w:rsid w:val="00667971"/>
    <w:rsid w:val="006F3D23"/>
    <w:rsid w:val="00722757"/>
    <w:rsid w:val="0078320E"/>
    <w:rsid w:val="007C195C"/>
    <w:rsid w:val="008376FE"/>
    <w:rsid w:val="00897CD0"/>
    <w:rsid w:val="009034FB"/>
    <w:rsid w:val="00982367"/>
    <w:rsid w:val="00A522A2"/>
    <w:rsid w:val="00A7683B"/>
    <w:rsid w:val="00A83C8E"/>
    <w:rsid w:val="00AF3C01"/>
    <w:rsid w:val="00B809BD"/>
    <w:rsid w:val="00B91C6A"/>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3032</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2023-10-10T13:09:00Z</cp:lastPrinted>
  <dcterms:created xsi:type="dcterms:W3CDTF">2023-10-10T12:56:00Z</dcterms:created>
  <dcterms:modified xsi:type="dcterms:W3CDTF">2023-10-31T14:25:00Z</dcterms:modified>
</cp:coreProperties>
</file>