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2B34AD7A" w:rsidR="00C45E6B" w:rsidRPr="00763AE3" w:rsidRDefault="000A4799" w:rsidP="00C45E6B">
            <w:pPr>
              <w:rPr>
                <w:bCs/>
                <w:noProof/>
              </w:rPr>
            </w:pPr>
            <w:r w:rsidRPr="00763AE3">
              <w:rPr>
                <w:bCs/>
                <w:noProof/>
              </w:rPr>
              <w:t xml:space="preserve">від </w:t>
            </w:r>
            <w:r w:rsidR="008032E0" w:rsidRPr="008032E0">
              <w:rPr>
                <w:bCs/>
                <w:noProof/>
                <w:lang w:val="ru-RU"/>
              </w:rPr>
              <w:t>1</w:t>
            </w:r>
            <w:r w:rsidR="000C0A7C">
              <w:rPr>
                <w:bCs/>
                <w:noProof/>
                <w:lang w:val="ru-RU"/>
              </w:rPr>
              <w:t>9</w:t>
            </w:r>
            <w:r w:rsidR="00943C4E" w:rsidRPr="00763AE3">
              <w:rPr>
                <w:bCs/>
                <w:noProof/>
              </w:rPr>
              <w:t xml:space="preserve"> </w:t>
            </w:r>
            <w:r w:rsidR="008032E0">
              <w:rPr>
                <w:bCs/>
                <w:noProof/>
              </w:rPr>
              <w:t>жовтня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3F845FE6" w14:textId="40F12BAE" w:rsidR="006E435D" w:rsidRPr="00763AE3"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8032E0">
              <w:rPr>
                <w:bCs/>
                <w:noProof/>
              </w:rPr>
              <w:t>8</w:t>
            </w:r>
            <w:r w:rsidR="006A1BD8">
              <w:rPr>
                <w:bCs/>
                <w:noProof/>
              </w:rPr>
              <w:t>5</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1FFB8592" w:rsidR="006E435D" w:rsidRPr="00763AE3" w:rsidRDefault="006E435D" w:rsidP="00101B98">
            <w:pPr>
              <w:rPr>
                <w:bCs/>
              </w:rPr>
            </w:pP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75A03BD0" w14:textId="2BA53F0B" w:rsidR="006E435D" w:rsidRPr="006A1BD8" w:rsidRDefault="006A1BD8" w:rsidP="00C91E41">
      <w:pPr>
        <w:jc w:val="center"/>
        <w:rPr>
          <w:sz w:val="40"/>
          <w:szCs w:val="40"/>
        </w:rPr>
      </w:pPr>
      <w:r w:rsidRPr="006A1BD8">
        <w:rPr>
          <w:b/>
          <w:bCs/>
          <w:sz w:val="40"/>
          <w:szCs w:val="40"/>
        </w:rPr>
        <w:t>ДК 021:2015 –31710000-6 - Електронне обладнання  (31711140-6 Електроди)</w:t>
      </w:r>
      <w:r w:rsidR="000A02E4" w:rsidRPr="006A1BD8">
        <w:rPr>
          <w:rFonts w:eastAsia="Dotum"/>
          <w:b/>
          <w:bCs/>
          <w:color w:val="000000"/>
          <w:sz w:val="40"/>
          <w:szCs w:val="40"/>
        </w:rPr>
        <w:t xml:space="preserve"> </w:t>
      </w:r>
    </w:p>
    <w:p w14:paraId="1F238018" w14:textId="77777777" w:rsidR="006E435D" w:rsidRPr="006A1BD8" w:rsidRDefault="006E435D" w:rsidP="006E435D">
      <w:pPr>
        <w:jc w:val="center"/>
        <w:rPr>
          <w:b/>
          <w:bCs/>
          <w:sz w:val="40"/>
          <w:szCs w:val="40"/>
        </w:rPr>
      </w:pPr>
    </w:p>
    <w:p w14:paraId="2FF5D0FE" w14:textId="77777777" w:rsidR="006E435D" w:rsidRPr="007C7E2A" w:rsidRDefault="006E435D" w:rsidP="006E435D">
      <w:pPr>
        <w:jc w:val="center"/>
        <w:rPr>
          <w:b/>
          <w:bCs/>
        </w:rPr>
      </w:pP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1E85D2EF" w14:textId="77777777" w:rsidR="006E435D" w:rsidRPr="007C7E2A" w:rsidRDefault="006E435D" w:rsidP="006E435D">
      <w:pPr>
        <w:jc w:val="center"/>
        <w:rPr>
          <w:b/>
          <w:bCs/>
        </w:rPr>
      </w:pPr>
    </w:p>
    <w:p w14:paraId="0EF9D786" w14:textId="77777777" w:rsidR="006E435D" w:rsidRPr="007C7E2A" w:rsidRDefault="006E435D" w:rsidP="006E435D">
      <w:pPr>
        <w:jc w:val="center"/>
        <w:rPr>
          <w:b/>
          <w:bCs/>
        </w:rPr>
      </w:pPr>
    </w:p>
    <w:p w14:paraId="21CDD8BE"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C91E41">
              <w:rPr>
                <w:rFonts w:ascii="Times New Roman" w:eastAsia="Times New Roman" w:hAnsi="Times New Roman" w:cs="Times New Roman"/>
                <w:color w:val="auto"/>
                <w:sz w:val="24"/>
                <w:szCs w:val="24"/>
                <w:lang w:val="uk-UA"/>
              </w:rPr>
              <w:t>закупівель</w:t>
            </w:r>
            <w:proofErr w:type="spellEnd"/>
            <w:r w:rsidRPr="00C91E41">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w:t>
            </w:r>
            <w:proofErr w:type="spellStart"/>
            <w:r w:rsidRPr="00C91E41">
              <w:rPr>
                <w:rFonts w:ascii="Times New Roman" w:eastAsia="Times New Roman" w:hAnsi="Times New Roman" w:cs="Times New Roman"/>
                <w:color w:val="auto"/>
                <w:sz w:val="24"/>
                <w:szCs w:val="24"/>
                <w:lang w:val="uk-UA"/>
              </w:rPr>
              <w:t>закупівель</w:t>
            </w:r>
            <w:proofErr w:type="spellEnd"/>
            <w:r w:rsidRPr="00C91E41">
              <w:rPr>
                <w:rFonts w:ascii="Times New Roman" w:eastAsia="Times New Roman" w:hAnsi="Times New Roman" w:cs="Times New Roman"/>
                <w:color w:val="auto"/>
                <w:sz w:val="24"/>
                <w:szCs w:val="24"/>
                <w:lang w:val="uk-UA"/>
              </w:rPr>
              <w:t xml:space="preserve">. </w:t>
            </w:r>
            <w:proofErr w:type="spellStart"/>
            <w:r w:rsidRPr="00C91E41">
              <w:rPr>
                <w:rFonts w:ascii="Times New Roman" w:eastAsia="Times New Roman" w:hAnsi="Times New Roman" w:cs="Times New Roman"/>
                <w:color w:val="auto"/>
                <w:sz w:val="24"/>
                <w:szCs w:val="24"/>
              </w:rPr>
              <w:t>Терміни</w:t>
            </w:r>
            <w:proofErr w:type="spellEnd"/>
            <w:r w:rsidRPr="00C91E41">
              <w:rPr>
                <w:rFonts w:ascii="Times New Roman" w:eastAsia="Times New Roman" w:hAnsi="Times New Roman" w:cs="Times New Roman"/>
                <w:color w:val="auto"/>
                <w:sz w:val="24"/>
                <w:szCs w:val="24"/>
              </w:rPr>
              <w:t xml:space="preserve"> та </w:t>
            </w:r>
            <w:proofErr w:type="spellStart"/>
            <w:r w:rsidRPr="00C91E41">
              <w:rPr>
                <w:rFonts w:ascii="Times New Roman" w:eastAsia="Times New Roman" w:hAnsi="Times New Roman" w:cs="Times New Roman"/>
                <w:color w:val="auto"/>
                <w:sz w:val="24"/>
                <w:szCs w:val="24"/>
              </w:rPr>
              <w:t>вимоги</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вживаються</w:t>
            </w:r>
            <w:proofErr w:type="spellEnd"/>
            <w:r w:rsidRPr="00C91E41">
              <w:rPr>
                <w:rFonts w:ascii="Times New Roman" w:eastAsia="Times New Roman" w:hAnsi="Times New Roman" w:cs="Times New Roman"/>
                <w:color w:val="auto"/>
                <w:sz w:val="24"/>
                <w:szCs w:val="24"/>
              </w:rPr>
              <w:t xml:space="preserve"> в </w:t>
            </w:r>
            <w:proofErr w:type="spellStart"/>
            <w:r w:rsidRPr="00C91E41">
              <w:rPr>
                <w:rFonts w:ascii="Times New Roman" w:eastAsia="Times New Roman" w:hAnsi="Times New Roman" w:cs="Times New Roman"/>
                <w:color w:val="auto"/>
                <w:sz w:val="24"/>
                <w:szCs w:val="24"/>
              </w:rPr>
              <w:t>значеннях</w:t>
            </w:r>
            <w:proofErr w:type="spellEnd"/>
            <w:r w:rsidRPr="00C91E41">
              <w:rPr>
                <w:rFonts w:ascii="Times New Roman" w:eastAsia="Times New Roman" w:hAnsi="Times New Roman" w:cs="Times New Roman"/>
                <w:color w:val="auto"/>
                <w:sz w:val="24"/>
                <w:szCs w:val="24"/>
              </w:rPr>
              <w:t xml:space="preserve"> та </w:t>
            </w:r>
            <w:proofErr w:type="spellStart"/>
            <w:r w:rsidRPr="00C91E41">
              <w:rPr>
                <w:rFonts w:ascii="Times New Roman" w:eastAsia="Times New Roman" w:hAnsi="Times New Roman" w:cs="Times New Roman"/>
                <w:color w:val="auto"/>
                <w:sz w:val="24"/>
                <w:szCs w:val="24"/>
              </w:rPr>
              <w:t>редакціях</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визначених</w:t>
            </w:r>
            <w:proofErr w:type="spellEnd"/>
            <w:r w:rsidRPr="00C91E41">
              <w:rPr>
                <w:rFonts w:ascii="Times New Roman" w:eastAsia="Times New Roman" w:hAnsi="Times New Roman" w:cs="Times New Roman"/>
                <w:color w:val="auto"/>
                <w:sz w:val="24"/>
                <w:szCs w:val="24"/>
              </w:rPr>
              <w:t xml:space="preserve"> Законом. </w:t>
            </w:r>
            <w:proofErr w:type="spellStart"/>
            <w:r w:rsidRPr="00C91E41">
              <w:rPr>
                <w:rFonts w:ascii="Times New Roman" w:eastAsia="Times New Roman" w:hAnsi="Times New Roman" w:cs="Times New Roman"/>
                <w:color w:val="auto"/>
                <w:sz w:val="24"/>
                <w:szCs w:val="24"/>
              </w:rPr>
              <w:t>Визначальним</w:t>
            </w:r>
            <w:proofErr w:type="spellEnd"/>
            <w:r w:rsidRPr="00C91E41">
              <w:rPr>
                <w:rFonts w:ascii="Times New Roman" w:eastAsia="Times New Roman" w:hAnsi="Times New Roman" w:cs="Times New Roman"/>
                <w:color w:val="auto"/>
                <w:sz w:val="24"/>
                <w:szCs w:val="24"/>
              </w:rPr>
              <w:t xml:space="preserve"> є текст норм </w:t>
            </w:r>
            <w:proofErr w:type="spellStart"/>
            <w:r w:rsidRPr="00C91E41">
              <w:rPr>
                <w:rFonts w:ascii="Times New Roman" w:eastAsia="Times New Roman" w:hAnsi="Times New Roman" w:cs="Times New Roman"/>
                <w:color w:val="auto"/>
                <w:sz w:val="24"/>
                <w:szCs w:val="24"/>
              </w:rPr>
              <w:t>викладений</w:t>
            </w:r>
            <w:proofErr w:type="spellEnd"/>
            <w:r w:rsidRPr="00C91E41">
              <w:rPr>
                <w:rFonts w:ascii="Times New Roman" w:eastAsia="Times New Roman" w:hAnsi="Times New Roman" w:cs="Times New Roman"/>
                <w:color w:val="auto"/>
                <w:sz w:val="24"/>
                <w:szCs w:val="24"/>
              </w:rPr>
              <w:t xml:space="preserve"> в </w:t>
            </w:r>
            <w:proofErr w:type="spellStart"/>
            <w:r w:rsidRPr="00C91E41">
              <w:rPr>
                <w:rFonts w:ascii="Times New Roman" w:eastAsia="Times New Roman" w:hAnsi="Times New Roman" w:cs="Times New Roman"/>
                <w:color w:val="auto"/>
                <w:sz w:val="24"/>
                <w:szCs w:val="24"/>
              </w:rPr>
              <w:t>Законі</w:t>
            </w:r>
            <w:proofErr w:type="spellEnd"/>
            <w:r w:rsidRPr="00C91E41">
              <w:rPr>
                <w:rFonts w:ascii="Times New Roman" w:eastAsia="Times New Roman" w:hAnsi="Times New Roman" w:cs="Times New Roman"/>
                <w:color w:val="auto"/>
                <w:sz w:val="24"/>
                <w:szCs w:val="24"/>
              </w:rPr>
              <w:t xml:space="preserve"> та </w:t>
            </w:r>
            <w:proofErr w:type="spellStart"/>
            <w:r w:rsidRPr="00C91E41">
              <w:rPr>
                <w:rFonts w:ascii="Times New Roman" w:eastAsia="Times New Roman" w:hAnsi="Times New Roman" w:cs="Times New Roman"/>
                <w:color w:val="auto"/>
                <w:sz w:val="24"/>
                <w:szCs w:val="24"/>
              </w:rPr>
              <w:t>Постанові</w:t>
            </w:r>
            <w:proofErr w:type="spellEnd"/>
            <w:r w:rsidRPr="00C91E41">
              <w:rPr>
                <w:rFonts w:ascii="Times New Roman" w:eastAsia="Times New Roman" w:hAnsi="Times New Roman" w:cs="Times New Roman"/>
                <w:color w:val="auto"/>
                <w:sz w:val="24"/>
                <w:szCs w:val="24"/>
              </w:rPr>
              <w:t xml:space="preserve">. У </w:t>
            </w:r>
            <w:proofErr w:type="spellStart"/>
            <w:r w:rsidRPr="00C91E41">
              <w:rPr>
                <w:rFonts w:ascii="Times New Roman" w:eastAsia="Times New Roman" w:hAnsi="Times New Roman" w:cs="Times New Roman"/>
                <w:color w:val="auto"/>
                <w:sz w:val="24"/>
                <w:szCs w:val="24"/>
              </w:rPr>
              <w:t>разі</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виявлення</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положень</w:t>
            </w:r>
            <w:proofErr w:type="spellEnd"/>
            <w:r w:rsidRPr="00C91E41">
              <w:rPr>
                <w:rFonts w:ascii="Times New Roman" w:eastAsia="Times New Roman" w:hAnsi="Times New Roman" w:cs="Times New Roman"/>
                <w:color w:val="auto"/>
                <w:sz w:val="24"/>
                <w:szCs w:val="24"/>
              </w:rPr>
              <w:t xml:space="preserve"> та/</w:t>
            </w:r>
            <w:proofErr w:type="spellStart"/>
            <w:r w:rsidRPr="00C91E41">
              <w:rPr>
                <w:rFonts w:ascii="Times New Roman" w:eastAsia="Times New Roman" w:hAnsi="Times New Roman" w:cs="Times New Roman"/>
                <w:color w:val="auto"/>
                <w:sz w:val="24"/>
                <w:szCs w:val="24"/>
              </w:rPr>
              <w:t>або</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визначень</w:t>
            </w:r>
            <w:proofErr w:type="spellEnd"/>
            <w:r w:rsidRPr="00C91E41">
              <w:rPr>
                <w:rFonts w:ascii="Times New Roman" w:eastAsia="Times New Roman" w:hAnsi="Times New Roman" w:cs="Times New Roman"/>
                <w:color w:val="auto"/>
                <w:sz w:val="24"/>
                <w:szCs w:val="24"/>
              </w:rPr>
              <w:t xml:space="preserve"> в </w:t>
            </w:r>
            <w:proofErr w:type="spellStart"/>
            <w:r w:rsidRPr="00C91E41">
              <w:rPr>
                <w:rFonts w:ascii="Times New Roman" w:eastAsia="Times New Roman" w:hAnsi="Times New Roman" w:cs="Times New Roman"/>
                <w:color w:val="auto"/>
                <w:sz w:val="24"/>
                <w:szCs w:val="24"/>
              </w:rPr>
              <w:t>тендерній</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документації</w:t>
            </w:r>
            <w:proofErr w:type="spellEnd"/>
            <w:r w:rsidRPr="00C91E41">
              <w:rPr>
                <w:rFonts w:ascii="Times New Roman" w:eastAsia="Times New Roman" w:hAnsi="Times New Roman" w:cs="Times New Roman"/>
                <w:color w:val="auto"/>
                <w:sz w:val="24"/>
                <w:szCs w:val="24"/>
              </w:rPr>
              <w:t xml:space="preserve">, </w:t>
            </w:r>
            <w:proofErr w:type="spellStart"/>
            <w:r w:rsidRPr="00C91E41">
              <w:rPr>
                <w:rFonts w:ascii="Times New Roman" w:eastAsia="Times New Roman" w:hAnsi="Times New Roman" w:cs="Times New Roman"/>
                <w:color w:val="auto"/>
                <w:sz w:val="24"/>
                <w:szCs w:val="24"/>
              </w:rPr>
              <w:t>які</w:t>
            </w:r>
            <w:proofErr w:type="spellEnd"/>
            <w:r w:rsidRPr="00C91E41">
              <w:rPr>
                <w:rFonts w:ascii="Times New Roman" w:eastAsia="Times New Roman" w:hAnsi="Times New Roman" w:cs="Times New Roman"/>
                <w:color w:val="auto"/>
                <w:sz w:val="24"/>
                <w:szCs w:val="24"/>
              </w:rPr>
              <w:t xml:space="preserve"> не </w:t>
            </w:r>
            <w:proofErr w:type="spellStart"/>
            <w:r w:rsidRPr="00C91E41">
              <w:rPr>
                <w:rFonts w:ascii="Times New Roman" w:eastAsia="Times New Roman" w:hAnsi="Times New Roman" w:cs="Times New Roman"/>
                <w:color w:val="auto"/>
                <w:sz w:val="24"/>
                <w:szCs w:val="24"/>
              </w:rPr>
              <w:t>відповідають</w:t>
            </w:r>
            <w:proofErr w:type="spellEnd"/>
            <w:r w:rsidRPr="00C91E41">
              <w:rPr>
                <w:rFonts w:ascii="Times New Roman" w:eastAsia="Times New Roman" w:hAnsi="Times New Roman" w:cs="Times New Roman"/>
                <w:color w:val="auto"/>
                <w:sz w:val="24"/>
                <w:szCs w:val="24"/>
              </w:rPr>
              <w:t xml:space="preserve"> Закону, </w:t>
            </w:r>
            <w:proofErr w:type="spellStart"/>
            <w:r w:rsidRPr="00C91E41">
              <w:rPr>
                <w:rFonts w:ascii="Times New Roman" w:eastAsia="Times New Roman" w:hAnsi="Times New Roman" w:cs="Times New Roman"/>
                <w:color w:val="auto"/>
                <w:sz w:val="24"/>
                <w:szCs w:val="24"/>
              </w:rPr>
              <w:t>замовник</w:t>
            </w:r>
            <w:proofErr w:type="spellEnd"/>
            <w:r w:rsidRPr="00C91E41">
              <w:rPr>
                <w:rFonts w:ascii="Times New Roman" w:eastAsia="Times New Roman" w:hAnsi="Times New Roman" w:cs="Times New Roman"/>
                <w:color w:val="auto"/>
                <w:sz w:val="24"/>
                <w:szCs w:val="24"/>
              </w:rPr>
              <w:t xml:space="preserve"> буде </w:t>
            </w:r>
            <w:proofErr w:type="spellStart"/>
            <w:r w:rsidRPr="00C91E41">
              <w:rPr>
                <w:rFonts w:ascii="Times New Roman" w:eastAsia="Times New Roman" w:hAnsi="Times New Roman" w:cs="Times New Roman"/>
                <w:color w:val="auto"/>
                <w:sz w:val="24"/>
                <w:szCs w:val="24"/>
              </w:rPr>
              <w:t>керуватися</w:t>
            </w:r>
            <w:proofErr w:type="spellEnd"/>
            <w:r w:rsidRPr="00C91E41">
              <w:rPr>
                <w:rFonts w:ascii="Times New Roman" w:eastAsia="Times New Roman" w:hAnsi="Times New Roman" w:cs="Times New Roman"/>
                <w:color w:val="auto"/>
                <w:sz w:val="24"/>
                <w:szCs w:val="24"/>
              </w:rPr>
              <w:t xml:space="preserve"> нормами Закону, </w:t>
            </w:r>
            <w:proofErr w:type="spellStart"/>
            <w:r w:rsidRPr="00C91E41">
              <w:rPr>
                <w:rFonts w:ascii="Times New Roman" w:eastAsia="Times New Roman" w:hAnsi="Times New Roman" w:cs="Times New Roman"/>
                <w:color w:val="auto"/>
                <w:sz w:val="24"/>
                <w:szCs w:val="24"/>
              </w:rPr>
              <w:t>які</w:t>
            </w:r>
            <w:proofErr w:type="spellEnd"/>
            <w:r w:rsidRPr="00C91E41">
              <w:rPr>
                <w:rFonts w:ascii="Times New Roman" w:eastAsia="Times New Roman" w:hAnsi="Times New Roman" w:cs="Times New Roman"/>
                <w:color w:val="auto"/>
                <w:sz w:val="24"/>
                <w:szCs w:val="24"/>
              </w:rPr>
              <w:t xml:space="preserve"> є </w:t>
            </w:r>
            <w:proofErr w:type="spellStart"/>
            <w:r w:rsidRPr="00C91E41">
              <w:rPr>
                <w:rFonts w:ascii="Times New Roman" w:eastAsia="Times New Roman" w:hAnsi="Times New Roman" w:cs="Times New Roman"/>
                <w:color w:val="auto"/>
                <w:sz w:val="24"/>
                <w:szCs w:val="24"/>
              </w:rPr>
              <w:t>визначальними</w:t>
            </w:r>
            <w:proofErr w:type="spellEnd"/>
            <w:r w:rsidRPr="00C91E41">
              <w:rPr>
                <w:rFonts w:ascii="Times New Roman" w:eastAsia="Times New Roman" w:hAnsi="Times New Roman" w:cs="Times New Roman"/>
                <w:color w:val="auto"/>
                <w:sz w:val="24"/>
                <w:szCs w:val="24"/>
              </w:rPr>
              <w:t>.</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proofErr w:type="spellStart"/>
            <w:r w:rsidRPr="00C91E41">
              <w:rPr>
                <w:rFonts w:ascii="Times New Roman" w:hAnsi="Times New Roman" w:cs="Times New Roman"/>
                <w:sz w:val="24"/>
                <w:szCs w:val="24"/>
              </w:rPr>
              <w:t>пров</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Мар’яненка</w:t>
            </w:r>
            <w:proofErr w:type="spellEnd"/>
            <w:r w:rsidRPr="00C91E41">
              <w:rPr>
                <w:rFonts w:ascii="Times New Roman" w:hAnsi="Times New Roman" w:cs="Times New Roman"/>
                <w:sz w:val="24"/>
                <w:szCs w:val="24"/>
              </w:rPr>
              <w:t xml:space="preserve">,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Київ</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Україна</w:t>
            </w:r>
            <w:proofErr w:type="spellEnd"/>
            <w:r w:rsidRPr="00C91E41">
              <w:rPr>
                <w:rFonts w:ascii="Times New Roman" w:hAnsi="Times New Roman" w:cs="Times New Roman"/>
                <w:sz w:val="24"/>
                <w:szCs w:val="24"/>
              </w:rPr>
              <w:t>,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E3D8A7D" w14:textId="31B1287F" w:rsidR="00F10D83" w:rsidRPr="00C91E41" w:rsidRDefault="00F10D83" w:rsidP="00F10D83">
            <w:pPr>
              <w:ind w:left="27"/>
              <w:jc w:val="both"/>
              <w:rPr>
                <w:color w:val="000000" w:themeColor="text1"/>
              </w:rPr>
            </w:pPr>
            <w:r w:rsidRPr="00C91E41">
              <w:t xml:space="preserve">З організаційних питань: Романишин Віктор Петрович – уповноважена особа, </w:t>
            </w:r>
            <w:r w:rsidR="007F78E7">
              <w:t xml:space="preserve">заступник </w:t>
            </w:r>
            <w:r w:rsidRPr="00C91E41">
              <w:t>начальник</w:t>
            </w:r>
            <w:r w:rsidR="007F78E7">
              <w:t>а</w:t>
            </w:r>
            <w:r w:rsidRPr="00C91E41">
              <w:t xml:space="preserve"> відділу постачання та матеріального забезпечення; </w:t>
            </w:r>
            <w:proofErr w:type="spellStart"/>
            <w:r w:rsidRPr="00C91E41">
              <w:t>пров</w:t>
            </w:r>
            <w:proofErr w:type="spellEnd"/>
            <w:r w:rsidRPr="00C91E41">
              <w:t xml:space="preserve">. </w:t>
            </w:r>
            <w:proofErr w:type="spellStart"/>
            <w:r w:rsidRPr="00C91E41">
              <w:t>Мар’яненка</w:t>
            </w:r>
            <w:proofErr w:type="spellEnd"/>
            <w:r w:rsidRPr="00C91E41">
              <w:t xml:space="preserve">, 7, м. Київ, Україна, 01021, </w:t>
            </w:r>
            <w:proofErr w:type="spellStart"/>
            <w:r w:rsidRPr="00C91E41">
              <w:t>тел</w:t>
            </w:r>
            <w:proofErr w:type="spellEnd"/>
            <w:r w:rsidRPr="00C91E41">
              <w:t>. (044) 280-36-10, е-</w:t>
            </w:r>
            <w:r w:rsidRPr="00C91E41">
              <w:rPr>
                <w:lang w:val="en-US"/>
              </w:rPr>
              <w:t>mail</w:t>
            </w:r>
            <w:r w:rsidRPr="00C91E41">
              <w:t xml:space="preserve">: </w:t>
            </w:r>
            <w:r w:rsidRPr="00C91E41">
              <w:rPr>
                <w:lang w:val="en-US"/>
              </w:rPr>
              <w:t>contract</w:t>
            </w:r>
            <w:r w:rsidRPr="00C91E41">
              <w:t>_</w:t>
            </w:r>
            <w:hyperlink r:id="rId8" w:history="1">
              <w:r w:rsidRPr="00C91E41">
                <w:rPr>
                  <w:rStyle w:val="af3"/>
                  <w:color w:val="000000" w:themeColor="text1"/>
                  <w:u w:val="none"/>
                </w:rPr>
                <w:t>kp_pech@ukr.net</w:t>
              </w:r>
            </w:hyperlink>
          </w:p>
          <w:p w14:paraId="79F6B680" w14:textId="3C784C10" w:rsidR="006E435D" w:rsidRPr="00C91E41" w:rsidRDefault="007F78E7" w:rsidP="007F78E7">
            <w:pPr>
              <w:tabs>
                <w:tab w:val="left" w:pos="284"/>
              </w:tabs>
              <w:jc w:val="both"/>
            </w:pPr>
            <w:r w:rsidRPr="007F78E7">
              <w:t xml:space="preserve">З технічних питань: </w:t>
            </w:r>
            <w:r w:rsidRPr="007C28A2">
              <w:t xml:space="preserve">Мазура Костянтин Миколайович - начальник транспортного відділу, </w:t>
            </w:r>
            <w:proofErr w:type="spellStart"/>
            <w:r w:rsidRPr="007C28A2">
              <w:t>тел</w:t>
            </w:r>
            <w:proofErr w:type="spellEnd"/>
            <w:r w:rsidRPr="007C28A2">
              <w:t>. 067-920-56-95</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proofErr w:type="spellStart"/>
            <w:r w:rsidRPr="00C91E41">
              <w:rPr>
                <w:rFonts w:ascii="Times New Roman" w:hAnsi="Times New Roman" w:cs="Times New Roman"/>
                <w:sz w:val="24"/>
                <w:szCs w:val="24"/>
              </w:rPr>
              <w:t>Відповідно</w:t>
            </w:r>
            <w:proofErr w:type="spellEnd"/>
            <w:r w:rsidRPr="00C91E41">
              <w:rPr>
                <w:rFonts w:ascii="Times New Roman" w:hAnsi="Times New Roman" w:cs="Times New Roman"/>
                <w:sz w:val="24"/>
                <w:szCs w:val="24"/>
              </w:rPr>
              <w:t xml:space="preserve"> до абзацу четвертого пункту 3 </w:t>
            </w:r>
            <w:proofErr w:type="spellStart"/>
            <w:r w:rsidRPr="00C91E41">
              <w:rPr>
                <w:rFonts w:ascii="Times New Roman" w:hAnsi="Times New Roman" w:cs="Times New Roman"/>
                <w:sz w:val="24"/>
                <w:szCs w:val="24"/>
              </w:rPr>
              <w:t>частини</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першої</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статті</w:t>
            </w:r>
            <w:proofErr w:type="spellEnd"/>
            <w:r w:rsidRPr="00C91E41">
              <w:rPr>
                <w:rFonts w:ascii="Times New Roman" w:hAnsi="Times New Roman" w:cs="Times New Roman"/>
                <w:sz w:val="24"/>
                <w:szCs w:val="24"/>
              </w:rPr>
              <w:t xml:space="preserve"> 2 Закону </w:t>
            </w:r>
            <w:proofErr w:type="spellStart"/>
            <w:r w:rsidRPr="00C91E41">
              <w:rPr>
                <w:rFonts w:ascii="Times New Roman" w:hAnsi="Times New Roman" w:cs="Times New Roman"/>
                <w:sz w:val="24"/>
                <w:szCs w:val="24"/>
              </w:rPr>
              <w:t>України</w:t>
            </w:r>
            <w:proofErr w:type="spellEnd"/>
            <w:r w:rsidRPr="00C91E41">
              <w:rPr>
                <w:rFonts w:ascii="Times New Roman" w:hAnsi="Times New Roman" w:cs="Times New Roman"/>
                <w:sz w:val="24"/>
                <w:szCs w:val="24"/>
              </w:rPr>
              <w:t xml:space="preserve"> "Про </w:t>
            </w:r>
            <w:proofErr w:type="spellStart"/>
            <w:r w:rsidRPr="00C91E41">
              <w:rPr>
                <w:rFonts w:ascii="Times New Roman" w:hAnsi="Times New Roman" w:cs="Times New Roman"/>
                <w:sz w:val="24"/>
                <w:szCs w:val="24"/>
              </w:rPr>
              <w:t>публічні</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закупівлі</w:t>
            </w:r>
            <w:proofErr w:type="spellEnd"/>
            <w:r w:rsidRPr="00C91E41">
              <w:rPr>
                <w:rFonts w:ascii="Times New Roman" w:hAnsi="Times New Roman" w:cs="Times New Roman"/>
                <w:sz w:val="24"/>
                <w:szCs w:val="24"/>
              </w:rPr>
              <w:t>"</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6E435D" w:rsidRPr="00C91E41" w14:paraId="6E5FE810" w14:textId="77777777" w:rsidTr="007C0060">
        <w:trPr>
          <w:trHeight w:val="520"/>
          <w:jc w:val="center"/>
        </w:trPr>
        <w:tc>
          <w:tcPr>
            <w:tcW w:w="566" w:type="dxa"/>
          </w:tcPr>
          <w:p w14:paraId="27E156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77777777" w:rsidR="006E435D"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Товар</w:t>
            </w:r>
          </w:p>
        </w:tc>
      </w:tr>
      <w:tr w:rsidR="006E435D" w:rsidRPr="00C91E41" w14:paraId="37CCCD9B" w14:textId="77777777" w:rsidTr="007C0060">
        <w:trPr>
          <w:trHeight w:val="520"/>
          <w:jc w:val="center"/>
        </w:trPr>
        <w:tc>
          <w:tcPr>
            <w:tcW w:w="566" w:type="dxa"/>
          </w:tcPr>
          <w:p w14:paraId="7056A53F"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0B2F7CA0" w14:textId="47B46DF7" w:rsidR="006E435D" w:rsidRPr="006A1BD8" w:rsidRDefault="006A1BD8" w:rsidP="00331FE3">
            <w:pPr>
              <w:pStyle w:val="11"/>
              <w:widowControl w:val="0"/>
              <w:spacing w:line="240" w:lineRule="auto"/>
              <w:jc w:val="both"/>
              <w:rPr>
                <w:rFonts w:ascii="Times New Roman" w:hAnsi="Times New Roman" w:cs="Times New Roman"/>
                <w:sz w:val="24"/>
                <w:szCs w:val="24"/>
                <w:lang w:val="uk-UA"/>
              </w:rPr>
            </w:pPr>
            <w:r w:rsidRPr="006A1BD8">
              <w:rPr>
                <w:rFonts w:ascii="Times New Roman" w:hAnsi="Times New Roman"/>
                <w:sz w:val="24"/>
                <w:szCs w:val="24"/>
              </w:rPr>
              <w:t xml:space="preserve">ДК 021:2015 –31710000-6 - </w:t>
            </w:r>
            <w:proofErr w:type="spellStart"/>
            <w:r w:rsidRPr="006A1BD8">
              <w:rPr>
                <w:rFonts w:ascii="Times New Roman" w:hAnsi="Times New Roman"/>
                <w:sz w:val="24"/>
                <w:szCs w:val="24"/>
              </w:rPr>
              <w:t>Електронне</w:t>
            </w:r>
            <w:proofErr w:type="spellEnd"/>
            <w:r w:rsidRPr="006A1BD8">
              <w:rPr>
                <w:rFonts w:ascii="Times New Roman" w:hAnsi="Times New Roman"/>
                <w:sz w:val="24"/>
                <w:szCs w:val="24"/>
              </w:rPr>
              <w:t xml:space="preserve"> </w:t>
            </w:r>
            <w:proofErr w:type="spellStart"/>
            <w:proofErr w:type="gramStart"/>
            <w:r w:rsidRPr="006A1BD8">
              <w:rPr>
                <w:rFonts w:ascii="Times New Roman" w:hAnsi="Times New Roman"/>
                <w:sz w:val="24"/>
                <w:szCs w:val="24"/>
              </w:rPr>
              <w:t>обладнання</w:t>
            </w:r>
            <w:proofErr w:type="spellEnd"/>
            <w:r w:rsidRPr="006A1BD8">
              <w:rPr>
                <w:rFonts w:ascii="Times New Roman" w:hAnsi="Times New Roman"/>
                <w:sz w:val="24"/>
                <w:szCs w:val="24"/>
              </w:rPr>
              <w:t xml:space="preserve">  (</w:t>
            </w:r>
            <w:proofErr w:type="gramEnd"/>
            <w:r w:rsidRPr="006A1BD8">
              <w:rPr>
                <w:rFonts w:ascii="Times New Roman" w:hAnsi="Times New Roman"/>
                <w:sz w:val="24"/>
                <w:szCs w:val="24"/>
              </w:rPr>
              <w:t xml:space="preserve">31711140-6 </w:t>
            </w:r>
            <w:proofErr w:type="spellStart"/>
            <w:r w:rsidRPr="006A1BD8">
              <w:rPr>
                <w:rFonts w:ascii="Times New Roman" w:hAnsi="Times New Roman"/>
                <w:sz w:val="24"/>
                <w:szCs w:val="24"/>
              </w:rPr>
              <w:t>Електроди</w:t>
            </w:r>
            <w:proofErr w:type="spellEnd"/>
            <w:r w:rsidRPr="006A1BD8">
              <w:rPr>
                <w:rFonts w:ascii="Times New Roman" w:hAnsi="Times New Roman"/>
                <w:sz w:val="24"/>
                <w:szCs w:val="24"/>
              </w:rPr>
              <w:t>)</w:t>
            </w:r>
          </w:p>
        </w:tc>
      </w:tr>
      <w:tr w:rsidR="006E435D" w:rsidRPr="00C91E41" w14:paraId="67256AF2" w14:textId="77777777" w:rsidTr="007C0060">
        <w:trPr>
          <w:trHeight w:val="520"/>
          <w:jc w:val="center"/>
        </w:trPr>
        <w:tc>
          <w:tcPr>
            <w:tcW w:w="566" w:type="dxa"/>
          </w:tcPr>
          <w:p w14:paraId="46F898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6E435D" w:rsidRPr="00C91E41" w:rsidRDefault="006E435D"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0B2D1C0" w14:textId="77777777" w:rsidR="006E435D" w:rsidRPr="00C91E41" w:rsidRDefault="0048538A"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Поділ предмету закупівлі на лоти не передбачено. Закупівля здійснюється в цілому.</w:t>
            </w:r>
          </w:p>
        </w:tc>
      </w:tr>
      <w:tr w:rsidR="006E435D" w:rsidRPr="00C91E41" w14:paraId="3FE86391" w14:textId="77777777" w:rsidTr="007C0060">
        <w:trPr>
          <w:trHeight w:val="520"/>
          <w:jc w:val="center"/>
        </w:trPr>
        <w:tc>
          <w:tcPr>
            <w:tcW w:w="566" w:type="dxa"/>
          </w:tcPr>
          <w:p w14:paraId="2184A89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D1313B8" w14:textId="77777777" w:rsidR="006E435D" w:rsidRPr="00C91E41" w:rsidRDefault="00C91E41" w:rsidP="00331FE3">
            <w:pPr>
              <w:pStyle w:val="11"/>
              <w:widowControl w:val="0"/>
              <w:spacing w:line="240" w:lineRule="auto"/>
              <w:jc w:val="both"/>
              <w:rPr>
                <w:rFonts w:ascii="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rPr>
              <w:t>в</w:t>
            </w:r>
            <w:r w:rsidR="00331FE3" w:rsidRPr="00C91E41">
              <w:rPr>
                <w:rFonts w:ascii="Times New Roman" w:eastAsia="Times New Roman" w:hAnsi="Times New Roman" w:cs="Times New Roman"/>
                <w:sz w:val="24"/>
                <w:szCs w:val="24"/>
                <w:lang w:val="uk-UA"/>
              </w:rPr>
              <w:t>ідповідно до Додатка №1</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2E808464" w:rsidR="006D3D5E" w:rsidRPr="006D3D5E" w:rsidRDefault="006D3D5E" w:rsidP="00CE6D94">
            <w:pPr>
              <w:ind w:left="-2" w:hanging="2"/>
              <w:jc w:val="both"/>
            </w:pPr>
            <w:r w:rsidRPr="006D3D5E">
              <w:t xml:space="preserve"> по </w:t>
            </w:r>
            <w:r w:rsidR="00CE6D94">
              <w:t>3</w:t>
            </w:r>
            <w:r w:rsidR="000C0A7C">
              <w:t>0</w:t>
            </w:r>
            <w:r w:rsidRPr="006D3D5E">
              <w:t>.</w:t>
            </w:r>
            <w:r w:rsidR="000C0A7C">
              <w:t>06</w:t>
            </w:r>
            <w:r w:rsidRPr="006D3D5E">
              <w:t>.202</w:t>
            </w:r>
            <w:r w:rsidR="000C0A7C">
              <w:t>4</w:t>
            </w:r>
            <w:r w:rsidRPr="006D3D5E">
              <w:t xml:space="preserve"> року</w:t>
            </w:r>
            <w:r w:rsidR="007F78E7">
              <w:t xml:space="preserve">, протягом </w:t>
            </w:r>
            <w:r w:rsidR="0058621D">
              <w:rPr>
                <w:color w:val="00000A"/>
              </w:rPr>
              <w:t>2</w:t>
            </w:r>
            <w:r w:rsidR="0058621D" w:rsidRPr="001E7796">
              <w:rPr>
                <w:color w:val="00000A"/>
              </w:rPr>
              <w:t>–</w:t>
            </w:r>
            <w:r w:rsidR="0058621D">
              <w:rPr>
                <w:color w:val="00000A"/>
              </w:rPr>
              <w:t xml:space="preserve">х робочих </w:t>
            </w:r>
            <w:r w:rsidR="0058621D" w:rsidRPr="001E7796">
              <w:rPr>
                <w:color w:val="00000A"/>
              </w:rPr>
              <w:t xml:space="preserve"> д</w:t>
            </w:r>
            <w:r w:rsidR="0058621D">
              <w:rPr>
                <w:color w:val="00000A"/>
              </w:rPr>
              <w:t>нів</w:t>
            </w:r>
            <w:r w:rsidR="0058621D" w:rsidRPr="001E7796">
              <w:rPr>
                <w:color w:val="00000A"/>
              </w:rPr>
              <w:t xml:space="preserve"> після отримання заявки</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proofErr w:type="spellStart"/>
            <w:r w:rsidRPr="00C91E41">
              <w:rPr>
                <w:rFonts w:ascii="Times New Roman" w:hAnsi="Times New Roman" w:cs="Times New Roman"/>
                <w:sz w:val="24"/>
                <w:szCs w:val="24"/>
              </w:rPr>
              <w:t>Джерело</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фінансування</w:t>
            </w:r>
            <w:proofErr w:type="spellEnd"/>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proofErr w:type="spellStart"/>
            <w:r w:rsidRPr="006D3D5E">
              <w:rPr>
                <w:rFonts w:ascii="Times New Roman" w:eastAsia="Calibri" w:hAnsi="Times New Roman" w:cs="Times New Roman"/>
                <w:sz w:val="24"/>
                <w:szCs w:val="24"/>
              </w:rPr>
              <w:t>Власні</w:t>
            </w:r>
            <w:proofErr w:type="spellEnd"/>
            <w:r w:rsidRPr="006D3D5E">
              <w:rPr>
                <w:rFonts w:ascii="Times New Roman" w:eastAsia="Calibri" w:hAnsi="Times New Roman" w:cs="Times New Roman"/>
                <w:sz w:val="24"/>
                <w:szCs w:val="24"/>
              </w:rPr>
              <w:t xml:space="preserve"> </w:t>
            </w:r>
            <w:proofErr w:type="spellStart"/>
            <w:r w:rsidRPr="006D3D5E">
              <w:rPr>
                <w:rFonts w:ascii="Times New Roman" w:eastAsia="Calibri" w:hAnsi="Times New Roman" w:cs="Times New Roman"/>
                <w:sz w:val="24"/>
                <w:szCs w:val="24"/>
              </w:rPr>
              <w:t>кошти</w:t>
            </w:r>
            <w:proofErr w:type="spellEnd"/>
            <w:r w:rsidRPr="006D3D5E">
              <w:rPr>
                <w:rFonts w:ascii="Times New Roman" w:eastAsia="Calibri" w:hAnsi="Times New Roman" w:cs="Times New Roman"/>
                <w:sz w:val="24"/>
                <w:szCs w:val="24"/>
              </w:rPr>
              <w:t xml:space="preserve"> </w:t>
            </w:r>
            <w:proofErr w:type="spellStart"/>
            <w:r w:rsidRPr="006D3D5E">
              <w:rPr>
                <w:rFonts w:ascii="Times New Roman" w:eastAsia="Calibri" w:hAnsi="Times New Roman" w:cs="Times New Roman"/>
                <w:sz w:val="24"/>
                <w:szCs w:val="24"/>
              </w:rPr>
              <w:t>підприємства</w:t>
            </w:r>
            <w:proofErr w:type="spellEnd"/>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proofErr w:type="spellStart"/>
            <w:r w:rsidRPr="00C91E41">
              <w:rPr>
                <w:rFonts w:ascii="Times New Roman" w:hAnsi="Times New Roman" w:cs="Times New Roman"/>
                <w:sz w:val="24"/>
                <w:szCs w:val="24"/>
              </w:rPr>
              <w:t>Очікувана</w:t>
            </w:r>
            <w:proofErr w:type="spellEnd"/>
            <w:r w:rsidRPr="00C91E41">
              <w:rPr>
                <w:rFonts w:ascii="Times New Roman" w:hAnsi="Times New Roman" w:cs="Times New Roman"/>
                <w:sz w:val="24"/>
                <w:szCs w:val="24"/>
              </w:rPr>
              <w:t xml:space="preserve"> </w:t>
            </w:r>
            <w:proofErr w:type="spellStart"/>
            <w:r w:rsidRPr="00C91E41">
              <w:rPr>
                <w:rFonts w:ascii="Times New Roman" w:hAnsi="Times New Roman" w:cs="Times New Roman"/>
                <w:sz w:val="24"/>
                <w:szCs w:val="24"/>
              </w:rPr>
              <w:t>вартість</w:t>
            </w:r>
            <w:proofErr w:type="spellEnd"/>
          </w:p>
        </w:tc>
        <w:tc>
          <w:tcPr>
            <w:tcW w:w="7228" w:type="dxa"/>
          </w:tcPr>
          <w:p w14:paraId="09AF52F8" w14:textId="7FD996B4"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proofErr w:type="spellStart"/>
            <w:r>
              <w:rPr>
                <w:rFonts w:ascii="Times New Roman" w:hAnsi="Times New Roman" w:cs="Times New Roman"/>
                <w:sz w:val="24"/>
                <w:szCs w:val="24"/>
              </w:rPr>
              <w:t>Очікувана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r w:rsidR="006A1BD8">
              <w:rPr>
                <w:rFonts w:ascii="Times New Roman" w:hAnsi="Times New Roman" w:cs="Times New Roman"/>
                <w:sz w:val="24"/>
                <w:szCs w:val="24"/>
                <w:lang w:val="uk-UA"/>
              </w:rPr>
              <w:t>56</w:t>
            </w:r>
            <w:r w:rsidR="006D3D5E" w:rsidRPr="006D3D5E">
              <w:rPr>
                <w:rFonts w:ascii="Times New Roman" w:hAnsi="Times New Roman" w:cs="Times New Roman"/>
                <w:sz w:val="24"/>
                <w:szCs w:val="24"/>
              </w:rPr>
              <w:t xml:space="preserve"> 000,00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91E41">
              <w:rPr>
                <w:lang w:eastAsia="uk-UA" w:bidi="uk-UA"/>
              </w:rPr>
              <w:lastRenderedPageBreak/>
              <w:t>закупівель</w:t>
            </w:r>
            <w:proofErr w:type="spellEnd"/>
            <w:r w:rsidRPr="00C91E41">
              <w:rPr>
                <w:lang w:eastAsia="uk-UA" w:bidi="uk-UA"/>
              </w:rPr>
              <w:t xml:space="preserve">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 xml:space="preserve">Під час проведення процедур </w:t>
            </w:r>
            <w:proofErr w:type="spellStart"/>
            <w:r w:rsidRPr="00C91E41">
              <w:rPr>
                <w:lang w:eastAsia="uk-UA" w:bidi="uk-UA"/>
              </w:rPr>
              <w:t>закупівель</w:t>
            </w:r>
            <w:proofErr w:type="spellEnd"/>
            <w:r w:rsidRPr="00C91E41">
              <w:rPr>
                <w:lang w:eastAsia="uk-UA" w:bidi="uk-UA"/>
              </w:rPr>
              <w:t xml:space="preserve">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 xml:space="preserve">Уся інформація розміщується в електронній системі </w:t>
            </w:r>
            <w:proofErr w:type="spellStart"/>
            <w:r w:rsidRPr="00C91E41">
              <w:rPr>
                <w:rFonts w:ascii="Times New Roman" w:eastAsia="Times New Roman" w:hAnsi="Times New Roman" w:cs="Times New Roman"/>
                <w:color w:val="auto"/>
                <w:sz w:val="24"/>
                <w:szCs w:val="24"/>
                <w:lang w:val="uk-UA" w:eastAsia="uk-UA" w:bidi="uk-UA"/>
              </w:rPr>
              <w:t>закупівель</w:t>
            </w:r>
            <w:proofErr w:type="spellEnd"/>
            <w:r w:rsidRPr="00C91E41">
              <w:rPr>
                <w:rFonts w:ascii="Times New Roman" w:eastAsia="Times New Roman" w:hAnsi="Times New Roman" w:cs="Times New Roman"/>
                <w:color w:val="auto"/>
                <w:sz w:val="24"/>
                <w:szCs w:val="24"/>
                <w:lang w:val="uk-UA" w:eastAsia="uk-UA" w:bidi="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91E41">
              <w:rPr>
                <w:lang w:eastAsia="uk-UA" w:bidi="uk-UA"/>
              </w:rPr>
              <w:t>закупівель</w:t>
            </w:r>
            <w:proofErr w:type="spellEnd"/>
            <w:r w:rsidRPr="00C91E41">
              <w:rPr>
                <w:lang w:eastAsia="uk-UA" w:bidi="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91E41">
              <w:rPr>
                <w:lang w:eastAsia="uk-UA" w:bidi="uk-UA"/>
              </w:rPr>
              <w:t>закупівель</w:t>
            </w:r>
            <w:proofErr w:type="spellEnd"/>
            <w:r w:rsidRPr="00C91E41">
              <w:rPr>
                <w:lang w:eastAsia="uk-UA" w:bidi="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91E41">
              <w:rPr>
                <w:lang w:eastAsia="uk-UA" w:bidi="uk-UA"/>
              </w:rPr>
              <w:t>закупівель</w:t>
            </w:r>
            <w:proofErr w:type="spellEnd"/>
            <w:r w:rsidRPr="00C91E41">
              <w:rPr>
                <w:lang w:eastAsia="uk-UA" w:bidi="uk-UA"/>
              </w:rPr>
              <w:t xml:space="preserve">. </w:t>
            </w:r>
          </w:p>
          <w:p w14:paraId="60398F41" w14:textId="77777777" w:rsidR="00331FE3" w:rsidRPr="00C91E41" w:rsidRDefault="00331FE3" w:rsidP="00FB301C">
            <w:pPr>
              <w:widowControl w:val="0"/>
              <w:shd w:val="clear" w:color="auto" w:fill="FFFFFF"/>
              <w:autoSpaceDE w:val="0"/>
              <w:autoSpaceDN w:val="0"/>
              <w:ind w:hanging="23"/>
              <w:jc w:val="both"/>
            </w:pPr>
            <w:r w:rsidRPr="00C91E41">
              <w:t xml:space="preserve">У разі несвоєчасного надання замовником роз’яснень щодо змісту тендерної документації електронна система </w:t>
            </w:r>
            <w:proofErr w:type="spellStart"/>
            <w:r w:rsidRPr="00C91E41">
              <w:t>закупівель</w:t>
            </w:r>
            <w:proofErr w:type="spellEnd"/>
            <w:r w:rsidRPr="00C91E41">
              <w:t xml:space="preserve">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91E41">
              <w:t>закупівель</w:t>
            </w:r>
            <w:proofErr w:type="spellEnd"/>
            <w:r w:rsidRPr="00C91E41">
              <w:t xml:space="preserve">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C91E41">
              <w:rPr>
                <w:color w:val="000000"/>
              </w:rPr>
              <w:t>закупівель</w:t>
            </w:r>
            <w:proofErr w:type="spellEnd"/>
            <w:r w:rsidRPr="00C91E41">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w:t>
            </w:r>
            <w:r w:rsidRPr="00C91E41">
              <w:rPr>
                <w:color w:val="000000"/>
              </w:rPr>
              <w:lastRenderedPageBreak/>
              <w:t xml:space="preserve">підставі рішення органу оскарження </w:t>
            </w:r>
            <w:proofErr w:type="spellStart"/>
            <w:r w:rsidRPr="00C91E41">
              <w:rPr>
                <w:color w:val="000000"/>
              </w:rPr>
              <w:t>внести</w:t>
            </w:r>
            <w:proofErr w:type="spellEnd"/>
            <w:r w:rsidRPr="00C91E41">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91E41">
              <w:rPr>
                <w:color w:val="000000"/>
              </w:rPr>
              <w:t>закупівель</w:t>
            </w:r>
            <w:proofErr w:type="spellEnd"/>
            <w:r w:rsidRPr="00C91E41">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C91E41">
              <w:rPr>
                <w:color w:val="000000"/>
              </w:rPr>
              <w:t>закупівель</w:t>
            </w:r>
            <w:proofErr w:type="spellEnd"/>
            <w:r w:rsidRPr="00C91E41">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 xml:space="preserve">Зміни до тендерної документації у </w:t>
            </w:r>
            <w:proofErr w:type="spellStart"/>
            <w:r w:rsidRPr="00C91E41">
              <w:rPr>
                <w:color w:val="000000"/>
              </w:rPr>
              <w:t>машинозчитувальному</w:t>
            </w:r>
            <w:proofErr w:type="spellEnd"/>
            <w:r w:rsidRPr="00C91E41">
              <w:rPr>
                <w:color w:val="000000"/>
              </w:rPr>
              <w:t xml:space="preserve"> форматі розміщуються в електронній системі </w:t>
            </w:r>
            <w:proofErr w:type="spellStart"/>
            <w:r w:rsidRPr="00C91E41">
              <w:rPr>
                <w:color w:val="000000"/>
              </w:rPr>
              <w:t>закупівель</w:t>
            </w:r>
            <w:proofErr w:type="spellEnd"/>
            <w:r w:rsidRPr="00C91E41">
              <w:rPr>
                <w:color w:val="000000"/>
              </w:rPr>
              <w:t xml:space="preserve">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w:t>
            </w:r>
            <w:proofErr w:type="spellStart"/>
            <w:r w:rsidRPr="0013018C">
              <w:rPr>
                <w:rFonts w:ascii="Times New Roman" w:eastAsia="Calibri" w:hAnsi="Times New Roman" w:cs="Times New Roman"/>
                <w:sz w:val="24"/>
                <w:szCs w:val="24"/>
                <w:shd w:val="clear" w:color="auto" w:fill="FFFFFF"/>
                <w:lang w:val="uk-UA"/>
              </w:rPr>
              <w:t>закупівель</w:t>
            </w:r>
            <w:proofErr w:type="spellEnd"/>
            <w:r w:rsidRPr="0013018C">
              <w:rPr>
                <w:rFonts w:ascii="Times New Roman" w:eastAsia="Calibri" w:hAnsi="Times New Roman" w:cs="Times New Roman"/>
                <w:sz w:val="24"/>
                <w:szCs w:val="24"/>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w:t>
            </w:r>
            <w:proofErr w:type="spellStart"/>
            <w:r w:rsidRPr="0013018C">
              <w:rPr>
                <w:rFonts w:ascii="Times New Roman" w:eastAsia="Calibri" w:hAnsi="Times New Roman" w:cs="Times New Roman"/>
                <w:sz w:val="24"/>
                <w:szCs w:val="24"/>
                <w:lang w:val="uk-UA"/>
              </w:rPr>
              <w:t>pdf</w:t>
            </w:r>
            <w:proofErr w:type="spellEnd"/>
            <w:r w:rsidRPr="0013018C">
              <w:rPr>
                <w:rFonts w:ascii="Times New Roman" w:eastAsia="Calibri" w:hAnsi="Times New Roman" w:cs="Times New Roman"/>
                <w:sz w:val="24"/>
                <w:szCs w:val="24"/>
                <w:lang w:val="uk-UA"/>
              </w:rPr>
              <w:t>»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w:t>
            </w:r>
            <w:proofErr w:type="spellStart"/>
            <w:r w:rsidRPr="00C91E41">
              <w:rPr>
                <w:i/>
                <w:spacing w:val="-2"/>
                <w:lang w:eastAsia="uk-UA" w:bidi="uk-UA"/>
              </w:rPr>
              <w:t>ому</w:t>
            </w:r>
            <w:proofErr w:type="spellEnd"/>
            <w:r w:rsidRPr="00C91E41">
              <w:rPr>
                <w:i/>
                <w:spacing w:val="-2"/>
                <w:lang w:eastAsia="uk-UA" w:bidi="uk-UA"/>
              </w:rPr>
              <w:t>)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77777777"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 викладених у </w:t>
            </w:r>
            <w:r w:rsidRPr="00C91E41">
              <w:rPr>
                <w:b/>
                <w:bCs/>
                <w:i/>
                <w:lang w:eastAsia="uk-UA" w:bidi="uk-UA"/>
              </w:rPr>
              <w:t>Додатку</w:t>
            </w:r>
            <w:r w:rsidR="00467706" w:rsidRPr="00C91E41">
              <w:rPr>
                <w:b/>
                <w:bCs/>
                <w:i/>
                <w:lang w:eastAsia="uk-UA" w:bidi="uk-UA"/>
              </w:rPr>
              <w:t>№</w:t>
            </w:r>
            <w:r w:rsidRPr="00C91E41">
              <w:rPr>
                <w:b/>
                <w:bCs/>
                <w:i/>
                <w:lang w:eastAsia="uk-UA" w:bidi="uk-UA"/>
              </w:rPr>
              <w:t xml:space="preserve"> </w:t>
            </w:r>
            <w:r w:rsidR="00467706" w:rsidRPr="00C91E41">
              <w:rPr>
                <w:b/>
                <w:bCs/>
                <w:i/>
                <w:lang w:eastAsia="uk-UA" w:bidi="uk-UA"/>
              </w:rPr>
              <w:t>3</w:t>
            </w:r>
            <w:r w:rsidRPr="00C91E41">
              <w:rPr>
                <w:i/>
                <w:lang w:eastAsia="uk-UA" w:bidi="uk-UA"/>
              </w:rPr>
              <w:t xml:space="preserve"> до тендерної документації</w:t>
            </w:r>
            <w:r w:rsidRPr="00C91E41">
              <w:rPr>
                <w:rFonts w:eastAsia="Calibri"/>
                <w:i/>
                <w:lang w:eastAsia="en-US" w:bidi="uk-UA"/>
              </w:rPr>
              <w:t>;</w:t>
            </w:r>
          </w:p>
          <w:p w14:paraId="6F2327B3" w14:textId="77777777"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467706" w:rsidRPr="00C91E41">
              <w:rPr>
                <w:b/>
                <w:i/>
                <w:lang w:eastAsia="uk-UA" w:bidi="uk-UA"/>
              </w:rPr>
              <w:t>4</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w:t>
            </w:r>
            <w:proofErr w:type="spellStart"/>
            <w:r w:rsidRPr="00C91E41">
              <w:rPr>
                <w:i/>
                <w:lang w:eastAsia="uk-UA" w:bidi="uk-UA"/>
              </w:rPr>
              <w:t>проєкт</w:t>
            </w:r>
            <w:proofErr w:type="spellEnd"/>
            <w:r w:rsidRPr="00C91E41">
              <w:rPr>
                <w:i/>
                <w:lang w:eastAsia="uk-UA" w:bidi="uk-UA"/>
              </w:rPr>
              <w:t xml:space="preserve"> якого викладено у </w:t>
            </w:r>
            <w:r w:rsidRPr="00C91E41">
              <w:rPr>
                <w:b/>
                <w:i/>
                <w:lang w:eastAsia="uk-UA" w:bidi="uk-UA"/>
              </w:rPr>
              <w:t>Додатку 5</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lastRenderedPageBreak/>
              <w:t>забезпечення тендерної пропозиції, відповідно до вимог, викладених у пункті 2 Розділу 3 тендерної документації (якщо 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xml:space="preserve">* У разі, якщо документи та/або інформація подається у формі електронного документа через електронну систему </w:t>
            </w:r>
            <w:proofErr w:type="spellStart"/>
            <w:r w:rsidRPr="00C91E41">
              <w:rPr>
                <w:i/>
                <w:lang w:eastAsia="uk-UA" w:bidi="uk-UA"/>
              </w:rPr>
              <w:t>закупівель</w:t>
            </w:r>
            <w:proofErr w:type="spellEnd"/>
            <w:r w:rsidRPr="00C91E41">
              <w:rPr>
                <w:i/>
                <w:lang w:eastAsia="uk-UA" w:bidi="uk-UA"/>
              </w:rPr>
              <w:t xml:space="preserve">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w:t>
            </w:r>
            <w:proofErr w:type="spellStart"/>
            <w:r w:rsidRPr="00C91E41">
              <w:rPr>
                <w:rFonts w:eastAsia="Arial"/>
                <w:lang w:eastAsia="zh-CN" w:bidi="uk-UA"/>
              </w:rPr>
              <w:t>закупівель</w:t>
            </w:r>
            <w:proofErr w:type="spellEnd"/>
            <w:r w:rsidRPr="00C91E41">
              <w:rPr>
                <w:rFonts w:eastAsia="Arial"/>
                <w:lang w:eastAsia="zh-CN"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w:t>
            </w:r>
            <w:r w:rsidRPr="00C91E41">
              <w:rPr>
                <w:rFonts w:eastAsia="Arial"/>
                <w:lang w:eastAsia="zh-CN" w:bidi="uk-UA"/>
              </w:rPr>
              <w:lastRenderedPageBreak/>
              <w:t>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повну і беззаперечну згоду з усіма умовами, що вказані в проекті договору згідно Додатку № 5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C91E41">
              <w:rPr>
                <w:rFonts w:eastAsia="Arial"/>
                <w:lang w:eastAsia="zh-CN" w:bidi="uk-UA"/>
              </w:rPr>
              <w:t>т.ч</w:t>
            </w:r>
            <w:proofErr w:type="spellEnd"/>
            <w:r w:rsidRPr="00C91E41">
              <w:rPr>
                <w:rFonts w:eastAsia="Arial"/>
                <w:lang w:eastAsia="zh-CN" w:bidi="uk-UA"/>
              </w:rPr>
              <w:t>.,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w:t>
            </w:r>
            <w:proofErr w:type="spellStart"/>
            <w:r w:rsidRPr="00C91E41">
              <w:rPr>
                <w:rFonts w:eastAsia="Arial"/>
                <w:lang w:eastAsia="zh-CN" w:bidi="uk-UA"/>
              </w:rPr>
              <w:t>нь</w:t>
            </w:r>
            <w:proofErr w:type="spellEnd"/>
            <w:r w:rsidRPr="00C91E41">
              <w:rPr>
                <w:rFonts w:eastAsia="Arial"/>
                <w:lang w:eastAsia="zh-CN" w:bidi="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C91E41">
              <w:rPr>
                <w:rFonts w:eastAsia="Arial"/>
                <w:lang w:eastAsia="zh-CN" w:bidi="uk-UA"/>
              </w:rPr>
              <w:t>ами</w:t>
            </w:r>
            <w:proofErr w:type="spellEnd"/>
            <w:r w:rsidRPr="00C91E41">
              <w:rPr>
                <w:rFonts w:eastAsia="Arial"/>
                <w:lang w:eastAsia="zh-CN" w:bidi="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91E41">
              <w:rPr>
                <w:rFonts w:eastAsia="Arial"/>
                <w:lang w:eastAsia="zh-CN" w:bidi="uk-UA"/>
              </w:rPr>
              <w:t>бенефіціарним</w:t>
            </w:r>
            <w:proofErr w:type="spellEnd"/>
            <w:r w:rsidRPr="00C91E41">
              <w:rPr>
                <w:rFonts w:eastAsia="Arial"/>
                <w:lang w:eastAsia="zh-CN" w:bidi="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6E32A4A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1E41">
              <w:rPr>
                <w:rFonts w:eastAsia="Arial"/>
                <w:lang w:eastAsia="zh-CN" w:bidi="uk-UA"/>
              </w:rPr>
              <w:t>закупівель</w:t>
            </w:r>
            <w:proofErr w:type="spellEnd"/>
            <w:r w:rsidRPr="00C91E41">
              <w:rPr>
                <w:rFonts w:eastAsia="Arial"/>
                <w:lang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lastRenderedPageBreak/>
              <w:t>- 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1E41">
              <w:rPr>
                <w:rFonts w:eastAsia="Arial"/>
                <w:lang w:eastAsia="zh-CN" w:bidi="uk-UA"/>
              </w:rPr>
              <w:t>закупівель</w:t>
            </w:r>
            <w:proofErr w:type="spellEnd"/>
            <w:r w:rsidRPr="00C91E41">
              <w:rPr>
                <w:rFonts w:eastAsia="Arial"/>
                <w:lang w:eastAsia="zh-CN" w:bidi="uk-UA"/>
              </w:rPr>
              <w:t xml:space="preserve">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1" w:name="h.2et92p0" w:colFirst="0" w:colLast="0"/>
            <w:bookmarkEnd w:id="1"/>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77777777" w:rsidR="00331FE3" w:rsidRPr="00C91E41" w:rsidRDefault="00331FE3" w:rsidP="009D20F9">
            <w:pPr>
              <w:ind w:right="113"/>
              <w:jc w:val="both"/>
              <w:rPr>
                <w:rFonts w:eastAsia="Arial"/>
              </w:rPr>
            </w:pPr>
            <w:r w:rsidRPr="00C91E41">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2" w:name="n746"/>
            <w:bookmarkEnd w:id="2"/>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91E41">
              <w:rPr>
                <w:rFonts w:ascii="Times New Roman" w:hAnsi="Times New Roman" w:cs="Times New Roman"/>
                <w:sz w:val="24"/>
                <w:szCs w:val="24"/>
                <w:lang w:val="uk-UA"/>
              </w:rPr>
              <w:t>закупівель</w:t>
            </w:r>
            <w:proofErr w:type="spellEnd"/>
            <w:r w:rsidRPr="00C91E41">
              <w:rPr>
                <w:rFonts w:ascii="Times New Roman" w:hAnsi="Times New Roman" w:cs="Times New Roman"/>
                <w:sz w:val="24"/>
                <w:szCs w:val="24"/>
                <w:lang w:val="uk-UA"/>
              </w:rPr>
              <w:t>.</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30045472" w14:textId="77777777" w:rsidR="00331FE3" w:rsidRPr="00C91E41" w:rsidRDefault="00331FE3" w:rsidP="00F75B5F">
            <w:pPr>
              <w:widowControl w:val="0"/>
              <w:shd w:val="clear" w:color="auto" w:fill="FFFFFF"/>
              <w:autoSpaceDE w:val="0"/>
              <w:autoSpaceDN w:val="0"/>
              <w:ind w:firstLine="448"/>
              <w:jc w:val="both"/>
              <w:rPr>
                <w:color w:val="000000"/>
                <w:lang w:eastAsia="uk-UA" w:bidi="uk-UA"/>
              </w:rPr>
            </w:pPr>
            <w:r w:rsidRPr="00C91E41">
              <w:rPr>
                <w:color w:val="000000"/>
                <w:lang w:eastAsia="uk-UA" w:bidi="uk-UA"/>
              </w:rPr>
              <w:t xml:space="preserve">Кваліфікаційні критерії, що встановлені замовником та інформація про спосіб їх підтвердження викладені в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2</w:t>
            </w:r>
            <w:r w:rsidRPr="00C91E41">
              <w:rPr>
                <w:color w:val="000000"/>
                <w:lang w:eastAsia="uk-UA" w:bidi="uk-UA"/>
              </w:rPr>
              <w:t xml:space="preserve"> до тендерної документації.</w:t>
            </w:r>
            <w:r w:rsidRPr="00C91E41">
              <w:rPr>
                <w:color w:val="333333"/>
                <w:lang w:eastAsia="uk-UA"/>
              </w:rPr>
              <w:t xml:space="preserve"> </w:t>
            </w:r>
          </w:p>
          <w:p w14:paraId="31286E4F" w14:textId="77777777" w:rsidR="00331FE3" w:rsidRPr="00C91E41" w:rsidRDefault="00331FE3" w:rsidP="000E32FE">
            <w:pPr>
              <w:widowControl w:val="0"/>
              <w:shd w:val="clear" w:color="auto" w:fill="FFFFFF"/>
              <w:autoSpaceDE w:val="0"/>
              <w:autoSpaceDN w:val="0"/>
              <w:ind w:firstLine="448"/>
              <w:jc w:val="both"/>
              <w:rPr>
                <w:color w:val="000000"/>
                <w:lang w:eastAsia="uk-UA" w:bidi="uk-UA"/>
              </w:rPr>
            </w:pPr>
            <w:r w:rsidRPr="00C91E41">
              <w:rPr>
                <w:color w:val="000000"/>
                <w:lang w:eastAsia="uk-UA" w:bidi="uk-UA"/>
              </w:rPr>
              <w:t>Підстави для відмови в участі у процедурі закупівлі встановлені</w:t>
            </w:r>
            <w:r w:rsidRPr="00C91E41">
              <w:t xml:space="preserve"> </w:t>
            </w:r>
            <w:r w:rsidRPr="00C91E41">
              <w:rPr>
                <w:color w:val="000000"/>
                <w:lang w:eastAsia="uk-UA" w:bidi="uk-UA"/>
              </w:rPr>
              <w:t>пунктом 4</w:t>
            </w:r>
            <w:r w:rsidR="000E32FE">
              <w:rPr>
                <w:color w:val="000000"/>
                <w:lang w:eastAsia="uk-UA" w:bidi="uk-UA"/>
              </w:rPr>
              <w:t>7</w:t>
            </w:r>
            <w:r w:rsidRPr="00C91E41">
              <w:rPr>
                <w:color w:val="000000"/>
                <w:lang w:eastAsia="uk-UA" w:bidi="uk-UA"/>
              </w:rPr>
              <w:t xml:space="preserve"> Особливостей та спосіб підтвердження відповідності учасників відповідно до Особливостей викладені у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3</w:t>
            </w:r>
            <w:r w:rsidRPr="00C91E41">
              <w:rPr>
                <w:color w:val="000000"/>
                <w:lang w:eastAsia="uk-UA" w:bidi="uk-UA"/>
              </w:rPr>
              <w:t xml:space="preserve"> до тендерної документації.</w:t>
            </w:r>
            <w:bookmarkStart w:id="3" w:name="n547"/>
            <w:bookmarkStart w:id="4" w:name="n548"/>
            <w:bookmarkStart w:id="5" w:name="n550"/>
            <w:bookmarkStart w:id="6" w:name="n822"/>
            <w:bookmarkEnd w:id="3"/>
            <w:bookmarkEnd w:id="4"/>
            <w:bookmarkEnd w:id="5"/>
            <w:bookmarkEnd w:id="6"/>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73E4E747" w14:textId="77777777" w:rsidR="00331FE3" w:rsidRPr="00C91E41" w:rsidRDefault="00331FE3" w:rsidP="00DF618E">
            <w:pPr>
              <w:shd w:val="clear" w:color="auto" w:fill="FFFFFF"/>
              <w:jc w:val="both"/>
              <w:rPr>
                <w:lang w:eastAsia="uk-UA" w:bidi="uk-UA"/>
              </w:rPr>
            </w:pPr>
            <w:r w:rsidRPr="00C91E41">
              <w:rPr>
                <w:lang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C91E41">
              <w:rPr>
                <w:b/>
                <w:lang w:eastAsia="uk-UA" w:bidi="uk-UA"/>
              </w:rPr>
              <w:t>Додатку</w:t>
            </w:r>
            <w:r w:rsidR="000250D5" w:rsidRPr="00C91E41">
              <w:rPr>
                <w:b/>
                <w:lang w:eastAsia="uk-UA" w:bidi="uk-UA"/>
              </w:rPr>
              <w:t>№</w:t>
            </w:r>
            <w:r w:rsidRPr="00C91E41">
              <w:rPr>
                <w:b/>
                <w:lang w:eastAsia="uk-UA" w:bidi="uk-UA"/>
              </w:rPr>
              <w:t xml:space="preserve"> </w:t>
            </w:r>
            <w:r w:rsidR="000250D5" w:rsidRPr="00C91E41">
              <w:rPr>
                <w:b/>
                <w:lang w:eastAsia="uk-UA" w:bidi="uk-UA"/>
              </w:rPr>
              <w:t>1</w:t>
            </w:r>
            <w:r w:rsidRPr="00C91E41">
              <w:rPr>
                <w:lang w:eastAsia="uk-UA" w:bidi="uk-UA"/>
              </w:rPr>
              <w:t xml:space="preserve"> до тендерної документації.</w:t>
            </w:r>
          </w:p>
          <w:p w14:paraId="2F898E3F" w14:textId="77777777" w:rsidR="00331FE3" w:rsidRPr="00C91E41" w:rsidRDefault="00331FE3" w:rsidP="00697D5B">
            <w:pPr>
              <w:jc w:val="both"/>
              <w:textAlignment w:val="baseline"/>
              <w:rPr>
                <w:i/>
                <w:lang w:eastAsia="uk-UA" w:bidi="uk-UA"/>
              </w:rPr>
            </w:pPr>
            <w:r w:rsidRPr="00C91E41">
              <w:rPr>
                <w:i/>
                <w:color w:val="0000CC"/>
                <w:lang w:eastAsia="uk-UA" w:bidi="uk-UA"/>
              </w:rPr>
              <w:t xml:space="preserve"> </w:t>
            </w:r>
            <w:r w:rsidRPr="00C91E41">
              <w:rPr>
                <w:i/>
                <w:lang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B22DFAD" w14:textId="77777777" w:rsidR="00331FE3" w:rsidRPr="00C91E41" w:rsidRDefault="00331FE3" w:rsidP="0030196F">
            <w:pPr>
              <w:jc w:val="both"/>
              <w:rPr>
                <w:lang w:eastAsia="uk-UA" w:bidi="uk-UA"/>
              </w:rPr>
            </w:pPr>
            <w:r w:rsidRPr="00C91E41">
              <w:rPr>
                <w:lang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 xml:space="preserve">Інформація про маркування, протоколи випробувань або </w:t>
            </w:r>
            <w:r w:rsidRPr="00C91E41">
              <w:rPr>
                <w:rFonts w:ascii="Times New Roman" w:eastAsia="Times New Roman" w:hAnsi="Times New Roman" w:cs="Times New Roman"/>
                <w:sz w:val="24"/>
                <w:szCs w:val="24"/>
                <w:lang w:val="uk-UA" w:eastAsia="uk-UA"/>
              </w:rPr>
              <w:lastRenderedPageBreak/>
              <w:t>сертифікати, що підтверджують 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lastRenderedPageBreak/>
              <w:t xml:space="preserve">Інформація про маркування, протоколи випробувань або сертифікати, що підтверджують відповідність предмета закупівлі </w:t>
            </w:r>
            <w:r w:rsidRPr="00C91E41">
              <w:lastRenderedPageBreak/>
              <w:t>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77777777" w:rsidR="00331FE3" w:rsidRPr="00C91E41" w:rsidRDefault="00331FE3" w:rsidP="007C0060">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 xml:space="preserve">Учасник процедури закупівлі має право </w:t>
            </w:r>
            <w:proofErr w:type="spellStart"/>
            <w:r w:rsidRPr="00C91E41">
              <w:rPr>
                <w:rFonts w:ascii="Times New Roman" w:eastAsia="Times New Roman" w:hAnsi="Times New Roman" w:cs="Times New Roman"/>
                <w:sz w:val="24"/>
                <w:szCs w:val="24"/>
                <w:lang w:val="uk-UA" w:eastAsia="uk-UA" w:bidi="uk-UA"/>
              </w:rPr>
              <w:t>внести</w:t>
            </w:r>
            <w:proofErr w:type="spellEnd"/>
            <w:r w:rsidRPr="00C91E41">
              <w:rPr>
                <w:rFonts w:ascii="Times New Roman" w:eastAsia="Times New Roman" w:hAnsi="Times New Roman" w:cs="Times New Roman"/>
                <w:sz w:val="24"/>
                <w:szCs w:val="24"/>
                <w:lang w:val="uk-UA" w:eastAsia="uk-UA" w:bidi="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91E41">
              <w:rPr>
                <w:rFonts w:ascii="Times New Roman" w:eastAsia="Times New Roman" w:hAnsi="Times New Roman" w:cs="Times New Roman"/>
                <w:sz w:val="24"/>
                <w:szCs w:val="24"/>
                <w:lang w:val="uk-UA" w:eastAsia="uk-UA" w:bidi="uk-UA"/>
              </w:rPr>
              <w:t>закупівель</w:t>
            </w:r>
            <w:proofErr w:type="spellEnd"/>
            <w:r w:rsidRPr="00C91E41">
              <w:rPr>
                <w:rFonts w:ascii="Times New Roman" w:eastAsia="Times New Roman" w:hAnsi="Times New Roman" w:cs="Times New Roman"/>
                <w:sz w:val="24"/>
                <w:szCs w:val="24"/>
                <w:lang w:val="uk-UA" w:eastAsia="uk-UA" w:bidi="uk-UA"/>
              </w:rPr>
              <w:t xml:space="preserve">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27525048" w:rsidR="00331FE3" w:rsidRDefault="00331FE3" w:rsidP="00B97B37">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6A1BD8">
              <w:rPr>
                <w:rFonts w:ascii="Times New Roman" w:eastAsia="Times New Roman" w:hAnsi="Times New Roman" w:cs="Times New Roman"/>
                <w:b/>
                <w:color w:val="auto"/>
                <w:sz w:val="24"/>
                <w:szCs w:val="24"/>
                <w:lang w:val="uk-UA"/>
              </w:rPr>
              <w:t>30</w:t>
            </w:r>
            <w:r w:rsidRPr="00057BFB">
              <w:rPr>
                <w:rFonts w:ascii="Times New Roman" w:eastAsia="Times New Roman" w:hAnsi="Times New Roman" w:cs="Times New Roman"/>
                <w:b/>
                <w:color w:val="auto"/>
                <w:sz w:val="24"/>
                <w:szCs w:val="24"/>
                <w:lang w:val="uk-UA"/>
              </w:rPr>
              <w:t xml:space="preserve"> </w:t>
            </w:r>
            <w:r w:rsidR="00C71E46">
              <w:rPr>
                <w:rFonts w:ascii="Times New Roman" w:eastAsia="Times New Roman" w:hAnsi="Times New Roman" w:cs="Times New Roman"/>
                <w:b/>
                <w:color w:val="auto"/>
                <w:sz w:val="24"/>
                <w:szCs w:val="24"/>
                <w:lang w:val="uk-UA"/>
              </w:rPr>
              <w:t>жовтня</w:t>
            </w:r>
            <w:r w:rsidRPr="00057BFB">
              <w:rPr>
                <w:rFonts w:ascii="Times New Roman" w:eastAsia="Times New Roman" w:hAnsi="Times New Roman" w:cs="Times New Roman"/>
                <w:b/>
                <w:color w:val="auto"/>
                <w:sz w:val="24"/>
                <w:szCs w:val="24"/>
                <w:lang w:val="uk-UA"/>
              </w:rPr>
              <w:t xml:space="preserve"> 2</w:t>
            </w:r>
            <w:r w:rsidR="00FF4D05" w:rsidRPr="00057BFB">
              <w:rPr>
                <w:rFonts w:ascii="Times New Roman" w:hAnsi="Times New Roman" w:cs="Times New Roman"/>
                <w:b/>
                <w:color w:val="auto"/>
                <w:sz w:val="24"/>
                <w:szCs w:val="24"/>
                <w:lang w:val="uk-UA"/>
              </w:rPr>
              <w:t xml:space="preserve">023 року </w:t>
            </w:r>
            <w:r w:rsidR="00C71E46">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 xml:space="preserve">Дата і час </w:t>
            </w:r>
            <w:proofErr w:type="spellStart"/>
            <w:r w:rsidRPr="00AF2E72">
              <w:rPr>
                <w:rFonts w:ascii="Times New Roman" w:hAnsi="Times New Roman" w:cs="Times New Roman"/>
                <w:color w:val="000000" w:themeColor="text1"/>
                <w:sz w:val="24"/>
                <w:szCs w:val="24"/>
                <w:shd w:val="clear" w:color="auto" w:fill="FFFFFF"/>
              </w:rPr>
              <w:t>розкриття</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тендерних</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пропозицій</w:t>
            </w:r>
            <w:proofErr w:type="spellEnd"/>
            <w:r w:rsidRPr="00AF2E72">
              <w:rPr>
                <w:rFonts w:ascii="Times New Roman" w:hAnsi="Times New Roman" w:cs="Times New Roman"/>
                <w:color w:val="000000" w:themeColor="text1"/>
                <w:sz w:val="24"/>
                <w:szCs w:val="24"/>
                <w:shd w:val="clear" w:color="auto" w:fill="FFFFFF"/>
              </w:rPr>
              <w:t xml:space="preserve">, дата і час </w:t>
            </w:r>
            <w:proofErr w:type="spellStart"/>
            <w:r w:rsidRPr="00AF2E72">
              <w:rPr>
                <w:rFonts w:ascii="Times New Roman" w:hAnsi="Times New Roman" w:cs="Times New Roman"/>
                <w:color w:val="000000" w:themeColor="text1"/>
                <w:sz w:val="24"/>
                <w:szCs w:val="24"/>
                <w:shd w:val="clear" w:color="auto" w:fill="FFFFFF"/>
              </w:rPr>
              <w:t>проведення</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електронного</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аукціону</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визначаються</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електронною</w:t>
            </w:r>
            <w:proofErr w:type="spellEnd"/>
            <w:r w:rsidRPr="00AF2E72">
              <w:rPr>
                <w:rFonts w:ascii="Times New Roman" w:hAnsi="Times New Roman" w:cs="Times New Roman"/>
                <w:color w:val="000000" w:themeColor="text1"/>
                <w:sz w:val="24"/>
                <w:szCs w:val="24"/>
                <w:shd w:val="clear" w:color="auto" w:fill="FFFFFF"/>
              </w:rPr>
              <w:t xml:space="preserve"> системою </w:t>
            </w:r>
            <w:proofErr w:type="spellStart"/>
            <w:r w:rsidRPr="00AF2E72">
              <w:rPr>
                <w:rFonts w:ascii="Times New Roman" w:hAnsi="Times New Roman" w:cs="Times New Roman"/>
                <w:color w:val="000000" w:themeColor="text1"/>
                <w:sz w:val="24"/>
                <w:szCs w:val="24"/>
                <w:shd w:val="clear" w:color="auto" w:fill="FFFFFF"/>
              </w:rPr>
              <w:t>закупівель</w:t>
            </w:r>
            <w:proofErr w:type="spellEnd"/>
            <w:r w:rsidRPr="00AF2E72">
              <w:rPr>
                <w:rFonts w:ascii="Times New Roman" w:hAnsi="Times New Roman" w:cs="Times New Roman"/>
                <w:color w:val="000000" w:themeColor="text1"/>
                <w:sz w:val="24"/>
                <w:szCs w:val="24"/>
                <w:shd w:val="clear" w:color="auto" w:fill="FFFFFF"/>
              </w:rPr>
              <w:t xml:space="preserve"> автоматично в день </w:t>
            </w:r>
            <w:proofErr w:type="spellStart"/>
            <w:r w:rsidRPr="00AF2E72">
              <w:rPr>
                <w:rFonts w:ascii="Times New Roman" w:hAnsi="Times New Roman" w:cs="Times New Roman"/>
                <w:color w:val="000000" w:themeColor="text1"/>
                <w:sz w:val="24"/>
                <w:szCs w:val="24"/>
                <w:shd w:val="clear" w:color="auto" w:fill="FFFFFF"/>
              </w:rPr>
              <w:t>оприлюднення</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замовником</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оголошення</w:t>
            </w:r>
            <w:proofErr w:type="spellEnd"/>
            <w:r w:rsidRPr="00AF2E72">
              <w:rPr>
                <w:rFonts w:ascii="Times New Roman" w:hAnsi="Times New Roman" w:cs="Times New Roman"/>
                <w:color w:val="000000" w:themeColor="text1"/>
                <w:sz w:val="24"/>
                <w:szCs w:val="24"/>
                <w:shd w:val="clear" w:color="auto" w:fill="FFFFFF"/>
              </w:rPr>
              <w:t xml:space="preserve"> про </w:t>
            </w:r>
            <w:proofErr w:type="spellStart"/>
            <w:r w:rsidRPr="00AF2E72">
              <w:rPr>
                <w:rFonts w:ascii="Times New Roman" w:hAnsi="Times New Roman" w:cs="Times New Roman"/>
                <w:color w:val="000000" w:themeColor="text1"/>
                <w:sz w:val="24"/>
                <w:szCs w:val="24"/>
                <w:shd w:val="clear" w:color="auto" w:fill="FFFFFF"/>
              </w:rPr>
              <w:t>проведення</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відкритих</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торгів</w:t>
            </w:r>
            <w:proofErr w:type="spellEnd"/>
            <w:r w:rsidRPr="00AF2E72">
              <w:rPr>
                <w:rFonts w:ascii="Times New Roman" w:hAnsi="Times New Roman" w:cs="Times New Roman"/>
                <w:color w:val="000000" w:themeColor="text1"/>
                <w:sz w:val="24"/>
                <w:szCs w:val="24"/>
                <w:shd w:val="clear" w:color="auto" w:fill="FFFFFF"/>
              </w:rPr>
              <w:t xml:space="preserve"> в </w:t>
            </w:r>
            <w:proofErr w:type="spellStart"/>
            <w:r w:rsidRPr="00AF2E72">
              <w:rPr>
                <w:rFonts w:ascii="Times New Roman" w:hAnsi="Times New Roman" w:cs="Times New Roman"/>
                <w:color w:val="000000" w:themeColor="text1"/>
                <w:sz w:val="24"/>
                <w:szCs w:val="24"/>
                <w:shd w:val="clear" w:color="auto" w:fill="FFFFFF"/>
              </w:rPr>
              <w:t>електронній</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системі</w:t>
            </w:r>
            <w:proofErr w:type="spellEnd"/>
            <w:r w:rsidRPr="00AF2E72">
              <w:rPr>
                <w:rFonts w:ascii="Times New Roman" w:hAnsi="Times New Roman" w:cs="Times New Roman"/>
                <w:color w:val="000000" w:themeColor="text1"/>
                <w:sz w:val="24"/>
                <w:szCs w:val="24"/>
                <w:shd w:val="clear" w:color="auto" w:fill="FFFFFF"/>
              </w:rPr>
              <w:t xml:space="preserve"> </w:t>
            </w:r>
            <w:proofErr w:type="spellStart"/>
            <w:r w:rsidRPr="00AF2E72">
              <w:rPr>
                <w:rFonts w:ascii="Times New Roman" w:hAnsi="Times New Roman" w:cs="Times New Roman"/>
                <w:color w:val="000000" w:themeColor="text1"/>
                <w:sz w:val="24"/>
                <w:szCs w:val="24"/>
                <w:shd w:val="clear" w:color="auto" w:fill="FFFFFF"/>
              </w:rPr>
              <w:t>закупівель</w:t>
            </w:r>
            <w:proofErr w:type="spellEnd"/>
            <w:r w:rsidRPr="00AF2E72">
              <w:rPr>
                <w:rFonts w:ascii="Times New Roman" w:hAnsi="Times New Roman" w:cs="Times New Roman"/>
                <w:color w:val="000000" w:themeColor="text1"/>
                <w:sz w:val="24"/>
                <w:szCs w:val="24"/>
                <w:shd w:val="clear" w:color="auto" w:fill="FFFFFF"/>
              </w:rPr>
              <w:t>.</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 xml:space="preserve">Електронною системою </w:t>
            </w:r>
            <w:proofErr w:type="spellStart"/>
            <w:r w:rsidRPr="00160A3C">
              <w:rPr>
                <w:color w:val="000000" w:themeColor="text1"/>
                <w:shd w:val="clear" w:color="auto" w:fill="FFFFFF"/>
              </w:rPr>
              <w:t>закупівель</w:t>
            </w:r>
            <w:proofErr w:type="spellEnd"/>
            <w:r w:rsidRPr="00160A3C">
              <w:rPr>
                <w:color w:val="000000" w:themeColor="text1"/>
                <w:shd w:val="clear" w:color="auto" w:fill="FFFFFF"/>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0"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1"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2"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60A3C">
              <w:rPr>
                <w:color w:val="000000" w:themeColor="text1"/>
              </w:rPr>
              <w:t>закупівель</w:t>
            </w:r>
            <w:proofErr w:type="spellEnd"/>
            <w:r w:rsidRPr="00160A3C">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160A3C">
              <w:rPr>
                <w:color w:val="000000" w:themeColor="text1"/>
              </w:rPr>
              <w:t>закупівель</w:t>
            </w:r>
            <w:proofErr w:type="spellEnd"/>
            <w:r w:rsidRPr="00160A3C">
              <w:rPr>
                <w:color w:val="000000" w:themeColor="text1"/>
              </w:rPr>
              <w:t>.</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7" w:name="n583"/>
            <w:bookmarkEnd w:id="7"/>
            <w:r w:rsidRPr="00160A3C">
              <w:rPr>
                <w:color w:val="000000" w:themeColor="text1"/>
              </w:rPr>
              <w:t>Розкриття тендерних пропозицій здійснюється відповідно до статті 28 Закону (положення </w:t>
            </w:r>
            <w:hyperlink r:id="rId13"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4"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60A3C">
              <w:rPr>
                <w:color w:val="000000" w:themeColor="text1"/>
                <w:shd w:val="clear" w:color="auto" w:fill="FFFFFF"/>
              </w:rPr>
              <w:lastRenderedPageBreak/>
              <w:t>відповідність кваліфікаційним критеріям відповідно до </w:t>
            </w:r>
            <w:hyperlink r:id="rId15" w:anchor="n1250" w:tgtFrame="_blank" w:history="1">
              <w:r w:rsidRPr="00160A3C">
                <w:rPr>
                  <w:rStyle w:val="af3"/>
                  <w:color w:val="000000" w:themeColor="text1"/>
                  <w:shd w:val="clear" w:color="auto" w:fill="FFFFFF"/>
                </w:rPr>
                <w:t>статті 16</w:t>
              </w:r>
            </w:hyperlink>
            <w:r w:rsidRPr="00160A3C">
              <w:rPr>
                <w:color w:val="000000" w:themeColor="text1"/>
                <w:shd w:val="clear" w:color="auto" w:fill="FFFFFF"/>
              </w:rPr>
              <w:t> Закону, і документи, що підтверджують відсутність підстав, визначених </w:t>
            </w:r>
            <w:hyperlink r:id="rId16"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8" w:name="n736"/>
            <w:bookmarkEnd w:id="8"/>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9" w:name="n737"/>
            <w:bookmarkStart w:id="10" w:name="n740"/>
            <w:bookmarkStart w:id="11" w:name="n741"/>
            <w:bookmarkStart w:id="12" w:name="n742"/>
            <w:bookmarkEnd w:id="9"/>
            <w:bookmarkEnd w:id="10"/>
            <w:bookmarkEnd w:id="11"/>
            <w:bookmarkEnd w:id="12"/>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3" w:name="n753"/>
            <w:bookmarkEnd w:id="13"/>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 xml:space="preserve">Тендерні пропозиції після закінчення кінцевого строку їх подання не приймаються електронною системою </w:t>
            </w:r>
            <w:proofErr w:type="spellStart"/>
            <w:r w:rsidRPr="00BE3F11">
              <w:rPr>
                <w:color w:val="000000" w:themeColor="text1"/>
              </w:rPr>
              <w:t>закупівель</w:t>
            </w:r>
            <w:proofErr w:type="spellEnd"/>
            <w:r w:rsidRPr="00BE3F11">
              <w:rPr>
                <w:color w:val="000000" w:themeColor="text1"/>
              </w:rPr>
              <w:t>.</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4" w:name="n567"/>
            <w:bookmarkEnd w:id="14"/>
            <w:r w:rsidRPr="00BE3F11">
              <w:rPr>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E3F11">
              <w:rPr>
                <w:color w:val="000000" w:themeColor="text1"/>
              </w:rPr>
              <w:t>закупівель</w:t>
            </w:r>
            <w:proofErr w:type="spellEnd"/>
            <w:r w:rsidRPr="00BE3F11">
              <w:rPr>
                <w:color w:val="000000" w:themeColor="text1"/>
              </w:rPr>
              <w:t>.</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8"/>
            <w:bookmarkEnd w:id="15"/>
            <w:r w:rsidRPr="00BE3F1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3F11">
              <w:rPr>
                <w:color w:val="000000" w:themeColor="text1"/>
              </w:rPr>
              <w:t>закупівель</w:t>
            </w:r>
            <w:proofErr w:type="spellEnd"/>
            <w:r w:rsidRPr="00BE3F11">
              <w:rPr>
                <w:color w:val="000000" w:themeColor="text1"/>
              </w:rPr>
              <w:t xml:space="preserve"> відповідно до </w:t>
            </w:r>
            <w:hyperlink r:id="rId17"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6" w:name="n569"/>
            <w:bookmarkEnd w:id="16"/>
            <w:r w:rsidRPr="00BE3F11">
              <w:rPr>
                <w:color w:val="000000" w:themeColor="text1"/>
              </w:rPr>
              <w:t xml:space="preserve">Якщо була подана одна тендерна пропозиція, електронна система </w:t>
            </w:r>
            <w:proofErr w:type="spellStart"/>
            <w:r w:rsidRPr="00BE3F11">
              <w:rPr>
                <w:color w:val="000000" w:themeColor="text1"/>
              </w:rPr>
              <w:t>закупівель</w:t>
            </w:r>
            <w:proofErr w:type="spellEnd"/>
            <w:r w:rsidRPr="00BE3F11">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w:t>
            </w:r>
            <w:proofErr w:type="spellStart"/>
            <w:r w:rsidRPr="00C91E41">
              <w:rPr>
                <w:lang w:eastAsia="uk-UA" w:bidi="uk-UA"/>
              </w:rPr>
              <w:t>закупівель</w:t>
            </w:r>
            <w:proofErr w:type="spellEnd"/>
            <w:r w:rsidRPr="00C91E41">
              <w:rPr>
                <w:lang w:eastAsia="uk-UA" w:bidi="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Найбільш економічно вигідною тендерною пропозицією електронна система </w:t>
            </w:r>
            <w:proofErr w:type="spellStart"/>
            <w:r w:rsidRPr="00C91E41">
              <w:rPr>
                <w:lang w:eastAsia="uk-UA" w:bidi="uk-UA"/>
              </w:rPr>
              <w:t>закупівель</w:t>
            </w:r>
            <w:proofErr w:type="spellEnd"/>
            <w:r w:rsidRPr="00C91E41">
              <w:rPr>
                <w:lang w:eastAsia="uk-UA" w:bidi="uk-UA"/>
              </w:rPr>
              <w:t xml:space="preserve">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lastRenderedPageBreak/>
              <w:t>використанням товару (товарів), роботи (робіт) або послуги (послуг),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C91E41">
              <w:rPr>
                <w:lang w:eastAsia="uk-UA" w:bidi="uk-UA"/>
              </w:rPr>
              <w:t>закупівель</w:t>
            </w:r>
            <w:proofErr w:type="spellEnd"/>
            <w:r w:rsidRPr="00C91E41">
              <w:rPr>
                <w:lang w:eastAsia="uk-UA" w:bidi="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 xml:space="preserve">Для проведення електронного аукціону ціни всіх пропозицій розташовуються в електронній системі </w:t>
            </w:r>
            <w:proofErr w:type="spellStart"/>
            <w:r w:rsidRPr="00C5672C">
              <w:rPr>
                <w:color w:val="000000"/>
              </w:rPr>
              <w:t>закупівель</w:t>
            </w:r>
            <w:proofErr w:type="spellEnd"/>
            <w:r w:rsidRPr="00C5672C">
              <w:rPr>
                <w:color w:val="000000"/>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91E41">
              <w:rPr>
                <w:color w:val="000000"/>
              </w:rPr>
              <w:t>закупівель</w:t>
            </w:r>
            <w:proofErr w:type="spellEnd"/>
            <w:r w:rsidRPr="00C91E41">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1E41">
              <w:rPr>
                <w:color w:val="000000"/>
              </w:rPr>
              <w:t>закупівель</w:t>
            </w:r>
            <w:proofErr w:type="spellEnd"/>
            <w:r w:rsidRPr="00C91E41">
              <w:rPr>
                <w:color w:val="000000"/>
              </w:rPr>
              <w:t xml:space="preserve">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1E41">
              <w:rPr>
                <w:color w:val="000000"/>
              </w:rPr>
              <w:t>невідповідностей</w:t>
            </w:r>
            <w:proofErr w:type="spellEnd"/>
            <w:r w:rsidRPr="00C91E41">
              <w:rPr>
                <w:color w:val="000000"/>
              </w:rPr>
              <w:t xml:space="preserve"> в електронній системі </w:t>
            </w:r>
            <w:proofErr w:type="spellStart"/>
            <w:r w:rsidRPr="00C91E41">
              <w:rPr>
                <w:color w:val="000000"/>
              </w:rPr>
              <w:t>закупівель</w:t>
            </w:r>
            <w:proofErr w:type="spellEnd"/>
            <w:r w:rsidRPr="00C91E41">
              <w:rPr>
                <w:color w:val="000000"/>
              </w:rPr>
              <w:t>.</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1E41">
              <w:rPr>
                <w:color w:val="000000"/>
              </w:rPr>
              <w:t>невідповідностей</w:t>
            </w:r>
            <w:proofErr w:type="spellEnd"/>
            <w:r w:rsidRPr="00C91E41">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0E1D">
              <w:rPr>
                <w:color w:val="000000" w:themeColor="text1"/>
                <w:shd w:val="clear" w:color="auto" w:fill="FFFFFF"/>
              </w:rPr>
              <w:t>закупівель</w:t>
            </w:r>
            <w:proofErr w:type="spellEnd"/>
            <w:r w:rsidRPr="00F80E1D">
              <w:rPr>
                <w:color w:val="000000" w:themeColor="text1"/>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19"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20"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7" w:name="n829"/>
            <w:bookmarkEnd w:id="17"/>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8" w:name="h.3rdcrjn" w:colFirst="0" w:colLast="0"/>
            <w:bookmarkEnd w:id="18"/>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19" w:name="bookmark=id.gjdgxs" w:colFirst="0" w:colLast="0"/>
            <w:bookmarkEnd w:id="19"/>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30j0zll" w:colFirst="0" w:colLast="0"/>
            <w:bookmarkEnd w:id="20"/>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1fob9te" w:colFirst="0" w:colLast="0"/>
            <w:bookmarkEnd w:id="21"/>
            <w:r w:rsidRPr="00C91E41">
              <w:rPr>
                <w:shd w:val="clear" w:color="auto" w:fill="FFFFFF"/>
                <w:lang w:eastAsia="uk-UA" w:bidi="uk-UA"/>
              </w:rPr>
              <w:t xml:space="preserve">використання слова або </w:t>
            </w:r>
            <w:proofErr w:type="spellStart"/>
            <w:r w:rsidRPr="00C91E41">
              <w:rPr>
                <w:shd w:val="clear" w:color="auto" w:fill="FFFFFF"/>
                <w:lang w:eastAsia="uk-UA" w:bidi="uk-UA"/>
              </w:rPr>
              <w:t>мовного</w:t>
            </w:r>
            <w:proofErr w:type="spellEnd"/>
            <w:r w:rsidRPr="00C91E41">
              <w:rPr>
                <w:shd w:val="clear" w:color="auto" w:fill="FFFFFF"/>
                <w:lang w:eastAsia="uk-UA" w:bidi="uk-UA"/>
              </w:rPr>
              <w:t xml:space="preserve">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3znysh7" w:colFirst="0" w:colLast="0"/>
            <w:bookmarkEnd w:id="22"/>
            <w:r w:rsidRPr="00C91E41">
              <w:rPr>
                <w:shd w:val="clear" w:color="auto" w:fill="FFFFFF"/>
                <w:lang w:eastAsia="uk-UA" w:bidi="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1E41">
              <w:rPr>
                <w:shd w:val="clear" w:color="auto" w:fill="FFFFFF"/>
                <w:lang w:eastAsia="uk-UA" w:bidi="uk-UA"/>
              </w:rPr>
              <w:t>закупівель</w:t>
            </w:r>
            <w:proofErr w:type="spellEnd"/>
            <w:r w:rsidRPr="00C91E41">
              <w:rPr>
                <w:shd w:val="clear" w:color="auto" w:fill="FFFFFF"/>
                <w:lang w:eastAsia="uk-UA" w:bidi="uk-UA"/>
              </w:rPr>
              <w:t xml:space="preserve">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2et92p0" w:colFirst="0" w:colLast="0"/>
            <w:bookmarkEnd w:id="23"/>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tyjcwt" w:colFirst="0" w:colLast="0"/>
            <w:bookmarkEnd w:id="24"/>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3dy6vkm" w:colFirst="0" w:colLast="0"/>
            <w:bookmarkEnd w:id="25"/>
            <w:r w:rsidRPr="00C91E41">
              <w:rPr>
                <w:shd w:val="clear" w:color="auto" w:fill="FFFFFF"/>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1t3h5sf" w:colFirst="0" w:colLast="0"/>
            <w:bookmarkEnd w:id="26"/>
            <w:r w:rsidRPr="00C91E41">
              <w:rPr>
                <w:shd w:val="clear" w:color="auto" w:fill="FFFFFF"/>
                <w:lang w:eastAsia="uk-UA" w:bidi="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C91E41">
              <w:rPr>
                <w:shd w:val="clear" w:color="auto" w:fill="FFFFFF"/>
                <w:lang w:eastAsia="uk-UA" w:bidi="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4d34og8" w:colFirst="0" w:colLast="0"/>
            <w:bookmarkEnd w:id="27"/>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2s8eyo1" w:colFirst="0" w:colLast="0"/>
            <w:bookmarkEnd w:id="28"/>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17dp8vu" w:colFirst="0" w:colLast="0"/>
            <w:bookmarkEnd w:id="29"/>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3rdcrjn" w:colFirst="0" w:colLast="0"/>
            <w:bookmarkEnd w:id="30"/>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26in1rg" w:colFirst="0" w:colLast="0"/>
            <w:bookmarkEnd w:id="31"/>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lnxbz9" w:colFirst="0" w:colLast="0"/>
            <w:bookmarkEnd w:id="32"/>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35nkun2" w:colFirst="0" w:colLast="0"/>
            <w:bookmarkEnd w:id="33"/>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1ksv4uv" w:colFirst="0" w:colLast="0"/>
            <w:bookmarkEnd w:id="34"/>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44sinio" w:colFirst="0" w:colLast="0"/>
            <w:bookmarkEnd w:id="35"/>
            <w:r w:rsidRPr="00C91E41">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2jxsxqh" w:colFirst="0" w:colLast="0"/>
            <w:bookmarkEnd w:id="36"/>
            <w:r w:rsidRPr="00C91E41">
              <w:rPr>
                <w:shd w:val="clear" w:color="auto" w:fill="FFFFFF"/>
                <w:lang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xml:space="preserve">- неправильне (неповне) завірення та/або не завірення учасником </w:t>
            </w:r>
            <w:r w:rsidRPr="00C91E41">
              <w:rPr>
                <w:shd w:val="clear" w:color="auto" w:fill="FFFFFF"/>
                <w:lang w:eastAsia="uk-UA" w:bidi="uk-UA"/>
              </w:rPr>
              <w:lastRenderedPageBreak/>
              <w:t>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 xml:space="preserve">Наприклад: зазначення в довідці русизмів, </w:t>
            </w:r>
            <w:proofErr w:type="spellStart"/>
            <w:r w:rsidRPr="00C91E41">
              <w:rPr>
                <w:i/>
                <w:shd w:val="clear" w:color="auto" w:fill="FFFFFF"/>
                <w:lang w:eastAsia="uk-UA" w:bidi="uk-UA"/>
              </w:rPr>
              <w:t>сленгових</w:t>
            </w:r>
            <w:proofErr w:type="spellEnd"/>
            <w:r w:rsidRPr="00C91E41">
              <w:rPr>
                <w:i/>
                <w:shd w:val="clear" w:color="auto" w:fill="FFFFFF"/>
                <w:lang w:eastAsia="uk-UA" w:bidi="uk-UA"/>
              </w:rPr>
              <w:t xml:space="preserve">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77777777" w:rsidR="00D87049" w:rsidRDefault="00D87049" w:rsidP="00D87049">
            <w:pPr>
              <w:widowControl w:val="0"/>
              <w:jc w:val="both"/>
            </w:pPr>
            <w: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5514B95" w14:textId="77777777" w:rsidR="00D87049" w:rsidRDefault="00D87049" w:rsidP="00D87049">
            <w:pPr>
              <w:widowControl w:val="0"/>
              <w:jc w:val="both"/>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t>зареєструваний</w:t>
            </w:r>
            <w:proofErr w:type="spellEnd"/>
            <w:r>
              <w:t xml:space="preserve">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lastRenderedPageBreak/>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7777777" w:rsidR="00D87049" w:rsidRDefault="00D87049" w:rsidP="00D87049">
            <w:pPr>
              <w:widowControl w:val="0"/>
              <w:jc w:val="both"/>
              <w:rPr>
                <w:color w:val="000000" w:themeColor="text1"/>
              </w:rPr>
            </w:pPr>
            <w:r>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77777777" w:rsidR="00D87049" w:rsidRDefault="00D87049" w:rsidP="00D87049">
            <w:pPr>
              <w:widowControl w:val="0"/>
              <w:jc w:val="both"/>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themeColor="text1"/>
              </w:rPr>
              <w:t>бенефіціарним</w:t>
            </w:r>
            <w:proofErr w:type="spellEnd"/>
            <w:r>
              <w:rPr>
                <w:color w:val="000000" w:themeColor="text1"/>
              </w:rPr>
              <w:t xml:space="preserve"> власником, членом </w:t>
            </w:r>
            <w:r>
              <w:rPr>
                <w:color w:val="000000" w:themeColor="text1"/>
              </w:rPr>
              <w:lastRenderedPageBreak/>
              <w:t>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347B6B" w14:textId="77777777" w:rsidR="00D87049" w:rsidRDefault="00D87049" w:rsidP="00D87049">
            <w:pPr>
              <w:widowControl w:val="0"/>
              <w:jc w:val="both"/>
              <w:rPr>
                <w:color w:val="000000" w:themeColor="text1"/>
              </w:rPr>
            </w:pPr>
            <w:r>
              <w:rPr>
                <w:color w:val="000000" w:themeColor="text1"/>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6F6F9C7F" w14:textId="77777777" w:rsidR="00D87049" w:rsidRDefault="00D87049" w:rsidP="00D87049">
            <w:pPr>
              <w:widowControl w:val="0"/>
              <w:jc w:val="both"/>
            </w:pPr>
            <w: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 xml:space="preserve">Замовник відхиляє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362367E0" w14:textId="77777777" w:rsidR="00CF09C4" w:rsidRDefault="00CF09C4" w:rsidP="00617ED7">
            <w:pPr>
              <w:widowControl w:val="0"/>
              <w:numPr>
                <w:ilvl w:val="0"/>
                <w:numId w:val="16"/>
              </w:numPr>
              <w:suppressAutoHyphens/>
              <w:ind w:firstLine="0"/>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 xml:space="preserve">відмовився від підписання договору про закупівлю </w:t>
            </w:r>
            <w:r>
              <w:lastRenderedPageBreak/>
              <w:t>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 xml:space="preserve">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5B559E46" w14:textId="752E4784" w:rsidR="00331FE3" w:rsidRPr="00617ED7" w:rsidRDefault="00CF09C4" w:rsidP="00617ED7">
            <w:pPr>
              <w:widowControl w:val="0"/>
              <w:jc w:val="both"/>
              <w:rPr>
                <w:highlight w:val="green"/>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7" w:name="h.z337ya" w:colFirst="0" w:colLast="0"/>
            <w:bookmarkEnd w:id="37"/>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14:paraId="20EECC6D" w14:textId="77777777" w:rsidR="004C4F8E" w:rsidRDefault="004C4F8E" w:rsidP="00617ED7">
            <w:pPr>
              <w:widowControl w:val="0"/>
              <w:jc w:val="both"/>
            </w:pPr>
            <w:r>
              <w:lastRenderedPageBreak/>
              <w:t xml:space="preserve">Відкриті торги автоматично відміняються електронною системою </w:t>
            </w:r>
            <w:proofErr w:type="spellStart"/>
            <w:r>
              <w:t>закупівель</w:t>
            </w:r>
            <w:proofErr w:type="spellEnd"/>
            <w:r>
              <w:t xml:space="preserve">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91E41">
              <w:rPr>
                <w:color w:val="000000"/>
                <w:lang w:eastAsia="uk-UA" w:bidi="uk-UA"/>
              </w:rPr>
              <w:t>закупівель</w:t>
            </w:r>
            <w:proofErr w:type="spellEnd"/>
            <w:r w:rsidRPr="00C91E41">
              <w:rPr>
                <w:color w:val="000000"/>
                <w:lang w:eastAsia="uk-UA" w:bidi="uk-UA"/>
              </w:rPr>
              <w:t xml:space="preserve">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91E41">
              <w:rPr>
                <w:color w:val="000000"/>
                <w:lang w:eastAsia="uk-UA" w:bidi="uk-UA"/>
              </w:rPr>
              <w:t>закупівель</w:t>
            </w:r>
            <w:proofErr w:type="spellEnd"/>
            <w:r w:rsidRPr="00C91E41">
              <w:rPr>
                <w:color w:val="000000"/>
                <w:lang w:eastAsia="uk-UA" w:bidi="uk-UA"/>
              </w:rPr>
              <w:t xml:space="preserve">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77777777" w:rsidR="00331FE3" w:rsidRPr="00C91E41" w:rsidRDefault="00331FE3" w:rsidP="00C01B4B">
            <w:pPr>
              <w:widowControl w:val="0"/>
              <w:autoSpaceDE w:val="0"/>
              <w:autoSpaceDN w:val="0"/>
              <w:contextualSpacing/>
              <w:jc w:val="both"/>
              <w:rPr>
                <w:color w:val="000000"/>
                <w:lang w:eastAsia="uk-UA" w:bidi="uk-UA"/>
              </w:rPr>
            </w:pPr>
            <w:proofErr w:type="spellStart"/>
            <w:r w:rsidRPr="00C91E41">
              <w:rPr>
                <w:lang w:eastAsia="uk-UA" w:bidi="uk-UA"/>
              </w:rPr>
              <w:t>Проєкт</w:t>
            </w:r>
            <w:proofErr w:type="spellEnd"/>
            <w:r w:rsidRPr="00C91E41">
              <w:rPr>
                <w:lang w:eastAsia="uk-UA" w:bidi="uk-UA"/>
              </w:rPr>
              <w:t xml:space="preserve"> договору складається замовником з урахуванням особливостей предмету закупівлі. </w:t>
            </w:r>
            <w:proofErr w:type="spellStart"/>
            <w:r w:rsidRPr="00C91E41">
              <w:rPr>
                <w:lang w:eastAsia="uk-UA" w:bidi="uk-UA"/>
              </w:rPr>
              <w:t>Проєкт</w:t>
            </w:r>
            <w:proofErr w:type="spellEnd"/>
            <w:r w:rsidRPr="00C91E41">
              <w:rPr>
                <w:lang w:eastAsia="uk-UA" w:bidi="uk-UA"/>
              </w:rPr>
              <w:t xml:space="preserve"> договору наведено у </w:t>
            </w:r>
            <w:r w:rsidRPr="00C91E41">
              <w:rPr>
                <w:b/>
                <w:lang w:eastAsia="uk-UA" w:bidi="uk-UA"/>
              </w:rPr>
              <w:t>Додатку 5</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8" w:name="n1033"/>
            <w:bookmarkEnd w:id="38"/>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4"/>
            <w:bookmarkEnd w:id="39"/>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5"/>
            <w:bookmarkEnd w:id="40"/>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1" w:name="n1036"/>
            <w:bookmarkEnd w:id="41"/>
            <w:r w:rsidRPr="00C91E41">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 xml:space="preserve">визначення грошового еквівалента зобов’язання в </w:t>
            </w:r>
            <w:r>
              <w:lastRenderedPageBreak/>
              <w:t>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p>
          <w:p w14:paraId="2FD74483" w14:textId="77777777" w:rsidR="004C4F8E" w:rsidRDefault="004C4F8E" w:rsidP="00617ED7">
            <w:pPr>
              <w:widowControl w:val="0"/>
              <w:jc w:val="both"/>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070D4EFE" w14:textId="706C120E" w:rsidR="00331FE3" w:rsidRPr="00C91E41" w:rsidRDefault="004C4F8E" w:rsidP="00617ED7">
            <w:pPr>
              <w:widowControl w:val="0"/>
              <w:shd w:val="clear" w:color="auto" w:fill="FFFFFF"/>
              <w:autoSpaceDE w:val="0"/>
              <w:autoSpaceDN w:val="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42" w:name="n1044"/>
            <w:bookmarkEnd w:id="42"/>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C91E41">
              <w:rPr>
                <w:rFonts w:ascii="Times New Roman" w:eastAsia="Times New Roman" w:hAnsi="Times New Roman" w:cs="Times New Roman"/>
                <w:sz w:val="24"/>
                <w:szCs w:val="24"/>
                <w:lang w:val="uk-UA" w:eastAsia="uk-UA" w:bidi="uk-UA"/>
              </w:rPr>
              <w:t>неукладення</w:t>
            </w:r>
            <w:proofErr w:type="spellEnd"/>
            <w:r w:rsidRPr="00C91E41">
              <w:rPr>
                <w:rFonts w:ascii="Times New Roman" w:eastAsia="Times New Roman" w:hAnsi="Times New Roman" w:cs="Times New Roman"/>
                <w:sz w:val="24"/>
                <w:szCs w:val="24"/>
                <w:lang w:val="uk-UA" w:eastAsia="uk-UA" w:bidi="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43" w:name="_Hlk118633704"/>
      <w:r w:rsidR="00390388" w:rsidRPr="00A42E4D">
        <w:t xml:space="preserve"> </w:t>
      </w:r>
      <w:r w:rsidR="00C45E6B" w:rsidRPr="007C7E2A">
        <w:rPr>
          <w:sz w:val="22"/>
          <w:szCs w:val="22"/>
          <w:lang w:eastAsia="uk-UA" w:bidi="uk-UA"/>
        </w:rPr>
        <w:t>Кваліфікаційні критерії до Учасників;</w:t>
      </w:r>
    </w:p>
    <w:bookmarkEnd w:id="43"/>
    <w:p w14:paraId="09A7576E" w14:textId="77777777"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C45E6B" w:rsidRPr="009E7B9C">
        <w:rPr>
          <w:sz w:val="22"/>
          <w:szCs w:val="22"/>
          <w:lang w:eastAsia="uk-UA" w:bidi="uk-UA"/>
        </w:rPr>
        <w:t>;</w:t>
      </w:r>
    </w:p>
    <w:p w14:paraId="73D1C663"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C45E6B" w:rsidRPr="007C7E2A">
        <w:rPr>
          <w:rFonts w:ascii="Times New Roman CYR" w:hAnsi="Times New Roman CYR" w:cs="Times New Roman CYR"/>
          <w:bCs/>
          <w:sz w:val="22"/>
          <w:szCs w:val="22"/>
          <w:lang w:eastAsia="uk-UA" w:bidi="uk-UA"/>
        </w:rPr>
        <w:t>Форма «</w:t>
      </w:r>
      <w:r w:rsidR="00B81F8D">
        <w:rPr>
          <w:rFonts w:ascii="Times New Roman CYR" w:hAnsi="Times New Roman CYR" w:cs="Times New Roman CYR"/>
          <w:bCs/>
          <w:sz w:val="22"/>
          <w:szCs w:val="22"/>
          <w:lang w:eastAsia="uk-UA" w:bidi="uk-UA"/>
        </w:rPr>
        <w:t>Цінова</w:t>
      </w:r>
      <w:r w:rsidR="00C45E6B" w:rsidRPr="007C7E2A">
        <w:rPr>
          <w:rFonts w:ascii="Times New Roman CYR" w:hAnsi="Times New Roman CYR" w:cs="Times New Roman CYR"/>
          <w:bCs/>
          <w:sz w:val="22"/>
          <w:szCs w:val="22"/>
          <w:lang w:eastAsia="uk-UA" w:bidi="uk-UA"/>
        </w:rPr>
        <w:t xml:space="preserve"> п</w:t>
      </w:r>
      <w:r w:rsidR="00C45E6B" w:rsidRPr="007C7E2A">
        <w:rPr>
          <w:sz w:val="22"/>
          <w:szCs w:val="22"/>
          <w:lang w:eastAsia="uk-UA" w:bidi="uk-UA"/>
        </w:rPr>
        <w:t>ропозиція»;</w:t>
      </w:r>
    </w:p>
    <w:p w14:paraId="51B4C358" w14:textId="77777777"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 </w:t>
      </w:r>
      <w:proofErr w:type="spellStart"/>
      <w:r w:rsidRPr="007C7E2A">
        <w:rPr>
          <w:sz w:val="22"/>
          <w:szCs w:val="22"/>
          <w:lang w:eastAsia="uk-UA" w:bidi="uk-UA"/>
        </w:rPr>
        <w:t>Проєкт</w:t>
      </w:r>
      <w:proofErr w:type="spellEnd"/>
      <w:r w:rsidRPr="007C7E2A">
        <w:rPr>
          <w:sz w:val="22"/>
          <w:szCs w:val="22"/>
          <w:lang w:eastAsia="uk-UA" w:bidi="uk-UA"/>
        </w:rPr>
        <w:t xml:space="preserve"> Договору</w:t>
      </w:r>
      <w:r w:rsidR="0033460F">
        <w:rPr>
          <w:sz w:val="22"/>
          <w:szCs w:val="22"/>
          <w:lang w:eastAsia="uk-UA" w:bidi="uk-UA"/>
        </w:rPr>
        <w:t>;</w:t>
      </w:r>
      <w:r w:rsidRPr="007C7E2A">
        <w:rPr>
          <w:sz w:val="22"/>
          <w:szCs w:val="22"/>
          <w:lang w:eastAsia="uk-UA" w:bidi="uk-UA"/>
        </w:rPr>
        <w:t xml:space="preserve"> </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1"/>
      <w:footerReference w:type="default" r:id="rId22"/>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36C0" w14:textId="77777777" w:rsidR="005C43D6" w:rsidRDefault="005C43D6">
      <w:r>
        <w:separator/>
      </w:r>
    </w:p>
  </w:endnote>
  <w:endnote w:type="continuationSeparator" w:id="0">
    <w:p w14:paraId="274C3A2A" w14:textId="77777777" w:rsidR="005C43D6" w:rsidRDefault="005C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E63D" w14:textId="77777777" w:rsidR="005C43D6" w:rsidRDefault="005C43D6">
      <w:r>
        <w:separator/>
      </w:r>
    </w:p>
  </w:footnote>
  <w:footnote w:type="continuationSeparator" w:id="0">
    <w:p w14:paraId="3E7B02A0" w14:textId="77777777" w:rsidR="005C43D6" w:rsidRDefault="005C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A7C"/>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2FF5"/>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2B4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6FB3"/>
    <w:rsid w:val="003B00EA"/>
    <w:rsid w:val="003B14AF"/>
    <w:rsid w:val="003B2989"/>
    <w:rsid w:val="003B7145"/>
    <w:rsid w:val="003B75B8"/>
    <w:rsid w:val="003C55EC"/>
    <w:rsid w:val="003C6F61"/>
    <w:rsid w:val="003D0568"/>
    <w:rsid w:val="003D3615"/>
    <w:rsid w:val="003D4F3D"/>
    <w:rsid w:val="003E1C83"/>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5E6C"/>
    <w:rsid w:val="00456CF1"/>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40F9"/>
    <w:rsid w:val="0050736D"/>
    <w:rsid w:val="005101CC"/>
    <w:rsid w:val="00516C0B"/>
    <w:rsid w:val="00522039"/>
    <w:rsid w:val="00522112"/>
    <w:rsid w:val="005232C9"/>
    <w:rsid w:val="00523BBB"/>
    <w:rsid w:val="00524570"/>
    <w:rsid w:val="005277D1"/>
    <w:rsid w:val="00531A4B"/>
    <w:rsid w:val="0053332A"/>
    <w:rsid w:val="00535CC1"/>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C03D0"/>
    <w:rsid w:val="005C1DD8"/>
    <w:rsid w:val="005C24B1"/>
    <w:rsid w:val="005C43D6"/>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27BD4"/>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7231F"/>
    <w:rsid w:val="0068192D"/>
    <w:rsid w:val="0068570F"/>
    <w:rsid w:val="00691977"/>
    <w:rsid w:val="00694DF4"/>
    <w:rsid w:val="00697D5B"/>
    <w:rsid w:val="00697EBB"/>
    <w:rsid w:val="006A1BD8"/>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8032E0"/>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1E3D"/>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0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0AC2"/>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C01B4B"/>
    <w:rsid w:val="00C03DB1"/>
    <w:rsid w:val="00C0711C"/>
    <w:rsid w:val="00C10EF0"/>
    <w:rsid w:val="00C1154D"/>
    <w:rsid w:val="00C1459A"/>
    <w:rsid w:val="00C15756"/>
    <w:rsid w:val="00C163EA"/>
    <w:rsid w:val="00C17346"/>
    <w:rsid w:val="00C20ED7"/>
    <w:rsid w:val="00C2148A"/>
    <w:rsid w:val="00C22683"/>
    <w:rsid w:val="00C2433B"/>
    <w:rsid w:val="00C2503B"/>
    <w:rsid w:val="00C35687"/>
    <w:rsid w:val="00C3591B"/>
    <w:rsid w:val="00C37AE7"/>
    <w:rsid w:val="00C402A6"/>
    <w:rsid w:val="00C4251B"/>
    <w:rsid w:val="00C45860"/>
    <w:rsid w:val="00C45E6B"/>
    <w:rsid w:val="00C47E70"/>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2A9A"/>
    <w:rsid w:val="00D96108"/>
    <w:rsid w:val="00DA05F2"/>
    <w:rsid w:val="00DA1D34"/>
    <w:rsid w:val="00DA37DD"/>
    <w:rsid w:val="00DA4F5F"/>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uiPriority w:val="99"/>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36814</Words>
  <Characters>20985</Characters>
  <Application>Microsoft Office Word</Application>
  <DocSecurity>0</DocSecurity>
  <Lines>174</Lines>
  <Paragraphs>115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57684</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2</cp:revision>
  <cp:lastPrinted>2023-07-04T07:41:00Z</cp:lastPrinted>
  <dcterms:created xsi:type="dcterms:W3CDTF">2023-10-19T10:31:00Z</dcterms:created>
  <dcterms:modified xsi:type="dcterms:W3CDTF">2023-10-19T10:31:00Z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