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6B0712">
        <w:rPr>
          <w:rFonts w:ascii="Times New Roman" w:hAnsi="Times New Roman" w:cs="Times New Roman"/>
          <w:sz w:val="24"/>
          <w:szCs w:val="24"/>
        </w:rPr>
        <w:t>4</w:t>
      </w:r>
      <w:r w:rsidRPr="00A44B59">
        <w:rPr>
          <w:rFonts w:ascii="Times New Roman" w:hAnsi="Times New Roman" w:cs="Times New Roman"/>
          <w:sz w:val="24"/>
          <w:szCs w:val="24"/>
        </w:rPr>
        <w:t xml:space="preserve"> року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за результатами проведених електронних торгів (Ідентифікатор закупівлі ______________) уклали цей Договір про наступне: </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rsidR="00CC068E" w:rsidRPr="00154823" w:rsidRDefault="00CC068E" w:rsidP="00154823">
      <w:pPr>
        <w:spacing w:before="120"/>
        <w:jc w:val="both"/>
        <w:rPr>
          <w:rFonts w:ascii="Times New Roman" w:hAnsi="Times New Roman" w:cs="Times New Roman"/>
          <w:sz w:val="24"/>
          <w:szCs w:val="24"/>
        </w:rPr>
      </w:pPr>
      <w:r w:rsidRPr="00323933">
        <w:rPr>
          <w:rFonts w:ascii="Times New Roman" w:hAnsi="Times New Roman" w:cs="Times New Roman"/>
          <w:sz w:val="24"/>
          <w:szCs w:val="24"/>
        </w:rPr>
        <w:t xml:space="preserve">1.1. Постачальник </w:t>
      </w:r>
      <w:r w:rsidRPr="00065B2E">
        <w:rPr>
          <w:rFonts w:ascii="Times New Roman" w:hAnsi="Times New Roman" w:cs="Times New Roman"/>
          <w:sz w:val="24"/>
          <w:szCs w:val="24"/>
        </w:rPr>
        <w:t xml:space="preserve">зобов’язується в порядку та на умовах визначених цим Договором протягом 2021 року поставити та передати у власність Замовика товар належної якості та кількості за визначеним предметом закупівлі </w:t>
      </w:r>
      <w:r w:rsidR="00B25418">
        <w:rPr>
          <w:rFonts w:ascii="Times New Roman" w:hAnsi="Times New Roman" w:cs="Times New Roman"/>
          <w:b/>
          <w:sz w:val="24"/>
          <w:szCs w:val="24"/>
        </w:rPr>
        <w:t>Сир кисломолочний, сир твердий</w:t>
      </w:r>
      <w:r w:rsidR="00154823" w:rsidRPr="00154823">
        <w:rPr>
          <w:rFonts w:ascii="Times New Roman" w:hAnsi="Times New Roman" w:cs="Times New Roman"/>
          <w:b/>
          <w:sz w:val="24"/>
          <w:szCs w:val="24"/>
        </w:rPr>
        <w:t xml:space="preserve"> </w:t>
      </w:r>
      <w:r w:rsidR="006B0712">
        <w:rPr>
          <w:rFonts w:ascii="Times New Roman" w:hAnsi="Times New Roman" w:cs="Times New Roman"/>
          <w:sz w:val="24"/>
          <w:szCs w:val="24"/>
        </w:rPr>
        <w:t>код за Є</w:t>
      </w:r>
      <w:r w:rsidR="00154823" w:rsidRPr="00154823">
        <w:rPr>
          <w:rFonts w:ascii="Times New Roman" w:hAnsi="Times New Roman" w:cs="Times New Roman"/>
          <w:sz w:val="24"/>
          <w:szCs w:val="24"/>
        </w:rPr>
        <w:t xml:space="preserve">ЗС ДК 021:2015 </w:t>
      </w:r>
      <w:r w:rsidR="00154823" w:rsidRPr="00154823">
        <w:rPr>
          <w:rFonts w:ascii="Times New Roman" w:hAnsi="Times New Roman" w:cs="Times New Roman"/>
          <w:b/>
          <w:sz w:val="24"/>
          <w:szCs w:val="24"/>
        </w:rPr>
        <w:t>15540000-5 - Сирні продукти</w:t>
      </w:r>
      <w:r w:rsidR="00154823" w:rsidRPr="00154823">
        <w:rPr>
          <w:rFonts w:ascii="Times New Roman" w:hAnsi="Times New Roman" w:cs="Times New Roman"/>
          <w:sz w:val="24"/>
          <w:szCs w:val="24"/>
        </w:rPr>
        <w:t xml:space="preserve"> </w:t>
      </w:r>
      <w:r w:rsidRPr="00065B2E">
        <w:rPr>
          <w:rFonts w:ascii="Times New Roman" w:hAnsi="Times New Roman" w:cs="Times New Roman"/>
          <w:sz w:val="24"/>
          <w:szCs w:val="24"/>
        </w:rPr>
        <w:t xml:space="preserve">(далі - Товар), а Замовник зобов’язується прийняти </w:t>
      </w:r>
      <w:r w:rsidR="00154823">
        <w:rPr>
          <w:rFonts w:ascii="Times New Roman" w:hAnsi="Times New Roman" w:cs="Times New Roman"/>
          <w:sz w:val="24"/>
          <w:szCs w:val="24"/>
        </w:rPr>
        <w:t>та</w:t>
      </w:r>
      <w:r w:rsidRPr="00065B2E">
        <w:rPr>
          <w:rFonts w:ascii="Times New Roman" w:hAnsi="Times New Roman" w:cs="Times New Roman"/>
          <w:sz w:val="24"/>
          <w:szCs w:val="24"/>
        </w:rPr>
        <w:t xml:space="preserve"> оплатити такий Товар.</w:t>
      </w:r>
    </w:p>
    <w:p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065B2E">
        <w:rPr>
          <w:rFonts w:ascii="Times New Roman" w:hAnsi="Times New Roman" w:cs="Times New Roman"/>
          <w:sz w:val="24"/>
          <w:szCs w:val="24"/>
        </w:rPr>
        <w:t>1.2. Найменування, кількість, основні технічні характеристики та ціна Товару визначаються у Специфікації Товару (далі - Додаток № 1) до Договору, що є невід’ємною частиною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r w:rsidR="0015482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sidR="00157E3E">
        <w:rPr>
          <w:rFonts w:ascii="Times New Roman" w:hAnsi="Times New Roman" w:cs="Times New Roman"/>
          <w:sz w:val="24"/>
          <w:szCs w:val="24"/>
        </w:rPr>
        <w:t>о</w:t>
      </w:r>
      <w:r w:rsidR="00154823">
        <w:rPr>
          <w:rFonts w:ascii="Times New Roman" w:hAnsi="Times New Roman" w:cs="Times New Roman"/>
          <w:sz w:val="24"/>
          <w:szCs w:val="24"/>
        </w:rPr>
        <w:t>-</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w:t>
      </w:r>
      <w:r w:rsidR="00154823">
        <w:rPr>
          <w:rFonts w:ascii="Times New Roman" w:hAnsi="Times New Roman" w:cs="Times New Roman"/>
          <w:sz w:val="24"/>
          <w:szCs w:val="24"/>
        </w:rPr>
        <w:t>чності</w:t>
      </w:r>
      <w:r>
        <w:rPr>
          <w:rFonts w:ascii="Times New Roman" w:hAnsi="Times New Roman" w:cs="Times New Roman"/>
          <w:sz w:val="24"/>
          <w:szCs w:val="24"/>
        </w:rPr>
        <w:t xml:space="preserve"> харчових продуктів</w:t>
      </w:r>
      <w:r w:rsidRPr="00323933">
        <w:rPr>
          <w:rFonts w:ascii="Times New Roman" w:hAnsi="Times New Roman" w:cs="Times New Roman"/>
          <w:sz w:val="24"/>
          <w:szCs w:val="24"/>
        </w:rPr>
        <w:t>, упаковки, маркування, транспортування,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sidR="00154823">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sidR="002C58FF">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sidR="00154823">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sidR="00154823">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sidR="00154823">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ТУ.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sidR="00157E3E">
        <w:rPr>
          <w:rFonts w:ascii="Times New Roman" w:hAnsi="Times New Roman" w:cs="Times New Roman"/>
          <w:sz w:val="24"/>
          <w:szCs w:val="24"/>
          <w:lang w:eastAsia="ar-SA"/>
        </w:rPr>
        <w:t>9</w:t>
      </w:r>
      <w:r w:rsidRPr="00065B2E">
        <w:rPr>
          <w:rFonts w:ascii="Times New Roman" w:hAnsi="Times New Roman" w:cs="Times New Roman"/>
          <w:sz w:val="24"/>
          <w:szCs w:val="24"/>
          <w:lang w:eastAsia="ar-SA"/>
        </w:rPr>
        <w:t>0 % від загального терміну зберігання на момент поставки товару.</w:t>
      </w:r>
      <w:r w:rsidRPr="00065B2E">
        <w:rPr>
          <w:rFonts w:ascii="Times New Roman" w:hAnsi="Times New Roman" w:cs="Times New Roman"/>
          <w:sz w:val="24"/>
          <w:szCs w:val="24"/>
        </w:rPr>
        <w:t xml:space="preserve"> </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sidR="002C58FF">
        <w:rPr>
          <w:rFonts w:ascii="Times New Roman" w:hAnsi="Times New Roman" w:cs="Times New Roman"/>
          <w:sz w:val="24"/>
          <w:szCs w:val="24"/>
        </w:rPr>
        <w:t>е</w:t>
      </w:r>
      <w:r w:rsidR="00157E3E">
        <w:rPr>
          <w:rFonts w:ascii="Times New Roman" w:hAnsi="Times New Roman" w:cs="Times New Roman"/>
          <w:sz w:val="24"/>
          <w:szCs w:val="24"/>
        </w:rPr>
        <w:t>чність</w:t>
      </w:r>
      <w:r w:rsidRPr="00065B2E">
        <w:rPr>
          <w:rFonts w:ascii="Times New Roman" w:hAnsi="Times New Roman" w:cs="Times New Roman"/>
          <w:sz w:val="24"/>
          <w:szCs w:val="24"/>
        </w:rPr>
        <w:t xml:space="preserve"> під час транспортування і зберігання.</w:t>
      </w:r>
    </w:p>
    <w:p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lastRenderedPageBreak/>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грн., 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sidR="006B0712">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xml:space="preserve"> рік.</w:t>
      </w:r>
    </w:p>
    <w:p w:rsidR="00FC70EA" w:rsidRPr="00715E04" w:rsidRDefault="00FC70EA" w:rsidP="00FC70EA">
      <w:pPr>
        <w:widowControl w:val="0"/>
        <w:suppressAutoHyphens/>
        <w:autoSpaceDE w:val="0"/>
        <w:spacing w:line="254" w:lineRule="auto"/>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3</w:t>
      </w:r>
      <w:r w:rsidRPr="00715E04">
        <w:rPr>
          <w:rFonts w:ascii="Times New Roman" w:hAnsi="Times New Roman" w:cs="Times New Roman"/>
          <w:sz w:val="24"/>
          <w:szCs w:val="24"/>
          <w:lang w:eastAsia="en-US"/>
        </w:rPr>
        <w:t>. На дату укладання договору бюджетні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язання Замовника по цьому договору виникають в межах кошторисних призначень на 202</w:t>
      </w:r>
      <w:r w:rsidR="006B0712">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xml:space="preserve"> рік, а саме в сумі </w:t>
      </w:r>
      <w:r>
        <w:rPr>
          <w:rFonts w:ascii="Times New Roman" w:hAnsi="Times New Roman" w:cs="Times New Roman"/>
          <w:sz w:val="24"/>
          <w:szCs w:val="24"/>
          <w:lang w:eastAsia="en-US"/>
        </w:rPr>
        <w:t xml:space="preserve">__________________________ </w:t>
      </w:r>
      <w:r w:rsidRPr="00715E04">
        <w:rPr>
          <w:rFonts w:ascii="Times New Roman" w:hAnsi="Times New Roman" w:cs="Times New Roman"/>
          <w:sz w:val="24"/>
          <w:szCs w:val="24"/>
          <w:lang w:eastAsia="en-US"/>
        </w:rPr>
        <w:t>грн.</w:t>
      </w:r>
    </w:p>
    <w:p w:rsidR="00FC70EA" w:rsidRPr="00715E04" w:rsidRDefault="00FC70EA" w:rsidP="00FC70EA">
      <w:pPr>
        <w:spacing w:line="254" w:lineRule="auto"/>
        <w:jc w:val="both"/>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Подальше виникнення бюджетних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5</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6</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Pr>
          <w:rFonts w:ascii="Times New Roman" w:hAnsi="Times New Roman"/>
          <w:sz w:val="24"/>
          <w:szCs w:val="24"/>
        </w:rPr>
        <w:t>7</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Pr>
          <w:rFonts w:ascii="Times New Roman" w:hAnsi="Times New Roman"/>
          <w:sz w:val="24"/>
          <w:szCs w:val="24"/>
          <w:lang w:val="ru-RU"/>
        </w:rPr>
        <w:t>3</w:t>
      </w:r>
      <w:r w:rsidRPr="004528A3">
        <w:rPr>
          <w:rFonts w:ascii="Times New Roman" w:hAnsi="Times New Roman"/>
          <w:sz w:val="24"/>
          <w:szCs w:val="24"/>
        </w:rPr>
        <w:t xml:space="preserve"> рік.</w:t>
      </w:r>
    </w:p>
    <w:p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rsidR="00FC70EA" w:rsidRPr="0068275B" w:rsidRDefault="00FC70EA" w:rsidP="00FC70EA">
      <w:pPr>
        <w:jc w:val="both"/>
        <w:rPr>
          <w:rFonts w:ascii="Times New Roman" w:hAnsi="Times New Roman"/>
          <w:sz w:val="24"/>
          <w:szCs w:val="24"/>
        </w:rPr>
      </w:pPr>
      <w:r>
        <w:rPr>
          <w:rFonts w:ascii="Times New Roman" w:hAnsi="Times New Roman"/>
          <w:sz w:val="24"/>
          <w:szCs w:val="24"/>
        </w:rPr>
        <w:t xml:space="preserve">    </w:t>
      </w: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D55C5F">
        <w:rPr>
          <w:rFonts w:ascii="Times New Roman" w:hAnsi="Times New Roman" w:cs="Times New Roman"/>
          <w:sz w:val="24"/>
          <w:szCs w:val="24"/>
        </w:rPr>
        <w:t>,</w:t>
      </w:r>
      <w:r w:rsidRPr="00323933">
        <w:rPr>
          <w:rFonts w:ascii="Times New Roman" w:hAnsi="Times New Roman" w:cs="Times New Roman"/>
          <w:sz w:val="24"/>
          <w:szCs w:val="24"/>
        </w:rPr>
        <w:t xml:space="preserve"> відповідно до заявки Замовника</w:t>
      </w:r>
      <w:r w:rsidR="008E16AF">
        <w:rPr>
          <w:rFonts w:ascii="Times New Roman" w:hAnsi="Times New Roman" w:cs="Times New Roman"/>
          <w:sz w:val="24"/>
          <w:szCs w:val="24"/>
        </w:rPr>
        <w:t xml:space="preserve"> (один-два рази на тиждень)</w:t>
      </w:r>
      <w:r w:rsidRPr="00323933">
        <w:rPr>
          <w:rFonts w:ascii="Times New Roman" w:hAnsi="Times New Roman" w:cs="Times New Roman"/>
          <w:sz w:val="24"/>
          <w:szCs w:val="24"/>
        </w:rPr>
        <w:t>, транспортом і за рахунок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6B0712">
        <w:rPr>
          <w:rFonts w:ascii="Times New Roman" w:hAnsi="Times New Roman" w:cs="Times New Roman"/>
          <w:color w:val="000000"/>
          <w:sz w:val="24"/>
          <w:szCs w:val="24"/>
        </w:rPr>
        <w:t>4</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Замовника: Чернігівська обл. м. Городня, вул. Шевченка 108-А,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lastRenderedPageBreak/>
        <w:t>5.6. Зобов’язання Постачальника щодо поставки Товару вважається виконаними в повному обсязі з моменту передачі Товару у власність Замовника.</w:t>
      </w:r>
    </w:p>
    <w:p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 </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0" w:name="18"/>
      <w:bookmarkStart w:id="1" w:name="19"/>
      <w:bookmarkEnd w:id="0"/>
      <w:bookmarkEnd w:id="1"/>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w:t>
      </w:r>
      <w:r w:rsidRPr="00A44B59">
        <w:rPr>
          <w:rFonts w:ascii="Times New Roman" w:hAnsi="Times New Roman" w:cs="Times New Roman"/>
          <w:sz w:val="24"/>
          <w:szCs w:val="24"/>
        </w:rPr>
        <w:lastRenderedPageBreak/>
        <w:t xml:space="preserve">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w:t>
      </w:r>
      <w:r w:rsidRPr="00FC70EA">
        <w:rPr>
          <w:rFonts w:ascii="Times New Roman" w:eastAsia="Times New Roman" w:hAnsi="Times New Roman" w:cs="Times New Roman"/>
          <w:sz w:val="24"/>
          <w:szCs w:val="24"/>
          <w:lang w:eastAsia="x-none"/>
        </w:rPr>
        <w:lastRenderedPageBreak/>
        <w:t>(форс-мажорні обставини) унеможливлять виконання таких зобов’язань, Сторони звільняються від відповідальності за таке невиконання.</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A44B59">
        <w:rPr>
          <w:rFonts w:ascii="Times New Roman" w:hAnsi="Times New Roman" w:cs="Times New Roman"/>
          <w:sz w:val="24"/>
          <w:szCs w:val="24"/>
        </w:rPr>
        <w:t>1</w:t>
      </w:r>
      <w:r>
        <w:rPr>
          <w:rFonts w:ascii="Times New Roman" w:hAnsi="Times New Roman" w:cs="Times New Roman"/>
          <w:sz w:val="24"/>
          <w:szCs w:val="24"/>
        </w:rPr>
        <w:t>1</w:t>
      </w:r>
      <w:r w:rsidRPr="00A44B59">
        <w:rPr>
          <w:rFonts w:ascii="Times New Roman" w:hAnsi="Times New Roman" w:cs="Times New Roman"/>
          <w:sz w:val="24"/>
          <w:szCs w:val="24"/>
        </w:rPr>
        <w:t>.1. Цей Договір набирає чинності з дня його підписання Сторонами і діє до 31.12.202</w:t>
      </w:r>
      <w:r w:rsidR="006B0712">
        <w:rPr>
          <w:rFonts w:ascii="Times New Roman" w:hAnsi="Times New Roman" w:cs="Times New Roman"/>
          <w:sz w:val="24"/>
          <w:szCs w:val="24"/>
        </w:rPr>
        <w:t>4</w:t>
      </w:r>
      <w:r w:rsidRPr="00A44B59">
        <w:rPr>
          <w:rFonts w:ascii="Times New Roman" w:hAnsi="Times New Roman" w:cs="Times New Roman"/>
          <w:sz w:val="24"/>
          <w:szCs w:val="24"/>
        </w:rPr>
        <w:t xml:space="preserve"> року</w:t>
      </w:r>
      <w:r>
        <w:rPr>
          <w:rFonts w:ascii="Times New Roman" w:hAnsi="Times New Roman" w:cs="Times New Roman"/>
          <w:sz w:val="24"/>
          <w:szCs w:val="24"/>
        </w:rPr>
        <w:t xml:space="preserve"> включно</w:t>
      </w:r>
      <w:r w:rsidRPr="00A44B59">
        <w:rPr>
          <w:rFonts w:ascii="Times New Roman" w:hAnsi="Times New Roman" w:cs="Times New Roman"/>
          <w:sz w:val="24"/>
          <w:szCs w:val="24"/>
        </w:rPr>
        <w:t xml:space="preserve">, </w:t>
      </w:r>
      <w:r w:rsidRPr="0068275B">
        <w:rPr>
          <w:rFonts w:ascii="Times New Roman" w:hAnsi="Times New Roman"/>
          <w:sz w:val="24"/>
          <w:szCs w:val="24"/>
        </w:rPr>
        <w:t>а в частині розрахунків діє до повного виконання Сторонами взятих на себе зобов’язань за цим Договором.</w:t>
      </w:r>
      <w:r w:rsidRPr="00A44B59">
        <w:rPr>
          <w:rFonts w:ascii="Times New Roman" w:hAnsi="Times New Roman" w:cs="Times New Roman"/>
          <w:sz w:val="24"/>
          <w:szCs w:val="24"/>
        </w:rPr>
        <w:t xml:space="preserve">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lastRenderedPageBreak/>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FC70EA">
        <w:rPr>
          <w:rFonts w:ascii="Times New Roman" w:hAnsi="Times New Roman" w:cs="Times New Roman"/>
          <w:sz w:val="24"/>
          <w:szCs w:val="24"/>
          <w:lang w:val="ru-RU"/>
        </w:rPr>
        <w:t xml:space="preserve"> </w:t>
      </w:r>
      <w:r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дія договору про закупівлю може бути продовжена на строк, достатній для проведення </w:t>
      </w:r>
      <w:r w:rsidRPr="00FC70EA">
        <w:rPr>
          <w:rFonts w:ascii="Times New Roman" w:hAnsi="Times New Roman" w:cs="Times New Roman"/>
          <w:sz w:val="24"/>
          <w:szCs w:val="24"/>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C068E" w:rsidRPr="00A44B59" w:rsidRDefault="00CC068E" w:rsidP="00A44B59">
      <w:pPr>
        <w:tabs>
          <w:tab w:val="left" w:pos="0"/>
        </w:tabs>
        <w:jc w:val="both"/>
        <w:rPr>
          <w:rFonts w:ascii="Times New Roman" w:hAnsi="Times New Roman" w:cs="Times New Roman"/>
          <w:kern w:val="16"/>
          <w:sz w:val="24"/>
          <w:szCs w:val="24"/>
        </w:rPr>
      </w:pPr>
    </w:p>
    <w:p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i/>
          <w:shadow/>
          <w:sz w:val="24"/>
          <w:szCs w:val="24"/>
        </w:rPr>
      </w:pP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rsidTr="00E67D61">
        <w:trPr>
          <w:trHeight w:val="3431"/>
        </w:trPr>
        <w:tc>
          <w:tcPr>
            <w:tcW w:w="5040" w:type="dxa"/>
          </w:tcPr>
          <w:p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rsidR="00CC068E" w:rsidRPr="00A44B59" w:rsidRDefault="00CC068E" w:rsidP="00A33928">
            <w:pPr>
              <w:rPr>
                <w:rFonts w:ascii="Times New Roman" w:hAnsi="Times New Roman" w:cs="Times New Roman"/>
                <w:sz w:val="24"/>
                <w:szCs w:val="24"/>
              </w:rPr>
            </w:pP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rsidR="00CC068E" w:rsidRPr="00A44B59" w:rsidRDefault="00CC068E" w:rsidP="00A33928">
            <w:pPr>
              <w:rPr>
                <w:rFonts w:ascii="Times New Roman" w:hAnsi="Times New Roman" w:cs="Times New Roman"/>
                <w:b/>
                <w:sz w:val="24"/>
                <w:szCs w:val="24"/>
                <w:shd w:val="clear" w:color="auto" w:fill="FFFFFF"/>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rsidR="009339DB" w:rsidRDefault="009339DB" w:rsidP="00A44B59">
      <w:pPr>
        <w:tabs>
          <w:tab w:val="left" w:pos="8055"/>
        </w:tabs>
        <w:spacing w:line="360" w:lineRule="auto"/>
        <w:ind w:firstLine="709"/>
        <w:jc w:val="right"/>
        <w:rPr>
          <w:rFonts w:ascii="Times New Roman" w:hAnsi="Times New Roman" w:cs="Times New Roman"/>
          <w:b/>
          <w:sz w:val="24"/>
          <w:szCs w:val="24"/>
        </w:rPr>
      </w:pP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Д</w:t>
      </w:r>
      <w:r w:rsidRPr="00A44B59">
        <w:rPr>
          <w:rFonts w:ascii="Times New Roman" w:hAnsi="Times New Roman" w:cs="Times New Roman"/>
          <w:b/>
          <w:sz w:val="24"/>
          <w:szCs w:val="24"/>
        </w:rPr>
        <w:t>одаток № 1 до Договору № _____</w:t>
      </w: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6B0712">
        <w:rPr>
          <w:rFonts w:ascii="Times New Roman" w:hAnsi="Times New Roman" w:cs="Times New Roman"/>
          <w:b/>
          <w:sz w:val="24"/>
          <w:szCs w:val="24"/>
          <w:lang w:val="ru-RU"/>
        </w:rPr>
        <w:t>4</w:t>
      </w:r>
      <w:bookmarkStart w:id="2" w:name="_GoBack"/>
      <w:bookmarkEnd w:id="2"/>
      <w:r w:rsidRPr="00A44B59">
        <w:rPr>
          <w:rFonts w:ascii="Times New Roman" w:hAnsi="Times New Roman" w:cs="Times New Roman"/>
          <w:b/>
          <w:sz w:val="24"/>
          <w:szCs w:val="24"/>
        </w:rPr>
        <w:t xml:space="preserve"> р.</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rsidTr="00322F40">
        <w:trPr>
          <w:trHeight w:val="585"/>
        </w:trPr>
        <w:tc>
          <w:tcPr>
            <w:tcW w:w="52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rsidTr="00322F40">
        <w:trPr>
          <w:trHeight w:val="2767"/>
        </w:trPr>
        <w:tc>
          <w:tcPr>
            <w:tcW w:w="527" w:type="dxa"/>
          </w:tcPr>
          <w:p w:rsidR="00CC068E" w:rsidRPr="00A44B59" w:rsidRDefault="00CC068E" w:rsidP="00A33928">
            <w:pPr>
              <w:rPr>
                <w:rFonts w:ascii="Times New Roman" w:hAnsi="Times New Roman" w:cs="Times New Roman"/>
                <w:sz w:val="24"/>
                <w:szCs w:val="24"/>
              </w:rPr>
            </w:pPr>
          </w:p>
        </w:tc>
        <w:tc>
          <w:tcPr>
            <w:tcW w:w="2380" w:type="dxa"/>
          </w:tcPr>
          <w:p w:rsidR="00CC068E" w:rsidRPr="00A44B59" w:rsidRDefault="00CC068E" w:rsidP="00A33928">
            <w:pPr>
              <w:jc w:val="center"/>
              <w:rPr>
                <w:rFonts w:ascii="Times New Roman" w:hAnsi="Times New Roman" w:cs="Times New Roman"/>
                <w:i/>
                <w:sz w:val="24"/>
                <w:szCs w:val="24"/>
              </w:rPr>
            </w:pP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3 до тендерної документації </w:t>
            </w:r>
          </w:p>
          <w:p w:rsidR="00CC068E" w:rsidRPr="00A44B59" w:rsidRDefault="00CC068E" w:rsidP="00A33928">
            <w:pPr>
              <w:jc w:val="center"/>
              <w:rPr>
                <w:rFonts w:ascii="Times New Roman" w:hAnsi="Times New Roman" w:cs="Times New Roman"/>
                <w:sz w:val="24"/>
                <w:szCs w:val="24"/>
              </w:rPr>
            </w:pPr>
          </w:p>
        </w:tc>
        <w:tc>
          <w:tcPr>
            <w:tcW w:w="982"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400"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226" w:type="dxa"/>
          </w:tcPr>
          <w:p w:rsidR="00CC068E" w:rsidRPr="00A44B59" w:rsidRDefault="00CC068E" w:rsidP="00A33928">
            <w:pPr>
              <w:rPr>
                <w:rFonts w:ascii="Times New Roman" w:hAnsi="Times New Roman" w:cs="Times New Roman"/>
                <w:sz w:val="24"/>
                <w:szCs w:val="24"/>
              </w:rPr>
            </w:pPr>
          </w:p>
        </w:tc>
        <w:tc>
          <w:tcPr>
            <w:tcW w:w="1287" w:type="dxa"/>
          </w:tcPr>
          <w:p w:rsidR="00CC068E" w:rsidRPr="00A44B59" w:rsidRDefault="00CC068E" w:rsidP="00A33928">
            <w:pPr>
              <w:rPr>
                <w:rFonts w:ascii="Times New Roman" w:hAnsi="Times New Roman" w:cs="Times New Roman"/>
                <w:sz w:val="24"/>
                <w:szCs w:val="24"/>
              </w:rPr>
            </w:pPr>
          </w:p>
        </w:tc>
      </w:tr>
      <w:tr w:rsidR="009339DB" w:rsidRPr="00A44B59" w:rsidTr="009339DB">
        <w:trPr>
          <w:trHeight w:val="393"/>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9339DB" w:rsidRPr="00A44B59" w:rsidTr="009339DB">
        <w:trPr>
          <w:trHeight w:val="305"/>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CC068E" w:rsidRPr="00A44B59" w:rsidTr="00322F40">
        <w:trPr>
          <w:trHeight w:val="288"/>
        </w:trPr>
        <w:tc>
          <w:tcPr>
            <w:tcW w:w="3889" w:type="dxa"/>
            <w:gridSpan w:val="3"/>
          </w:tcPr>
          <w:p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rsidR="00CC068E" w:rsidRPr="00A44B59" w:rsidRDefault="00CC068E" w:rsidP="00A33928">
            <w:pPr>
              <w:rPr>
                <w:rFonts w:ascii="Times New Roman" w:hAnsi="Times New Roman" w:cs="Times New Roman"/>
                <w:b/>
                <w:sz w:val="24"/>
                <w:szCs w:val="24"/>
              </w:rPr>
            </w:pPr>
          </w:p>
        </w:tc>
        <w:tc>
          <w:tcPr>
            <w:tcW w:w="1400" w:type="dxa"/>
          </w:tcPr>
          <w:p w:rsidR="00CC068E" w:rsidRPr="00A44B59" w:rsidRDefault="00CC068E" w:rsidP="00A33928">
            <w:pPr>
              <w:rPr>
                <w:rFonts w:ascii="Times New Roman" w:hAnsi="Times New Roman" w:cs="Times New Roman"/>
                <w:b/>
                <w:sz w:val="24"/>
                <w:szCs w:val="24"/>
              </w:rPr>
            </w:pPr>
          </w:p>
        </w:tc>
        <w:tc>
          <w:tcPr>
            <w:tcW w:w="1120" w:type="dxa"/>
          </w:tcPr>
          <w:p w:rsidR="00CC068E" w:rsidRPr="00A44B59" w:rsidRDefault="00CC068E" w:rsidP="00A33928">
            <w:pPr>
              <w:rPr>
                <w:rFonts w:ascii="Times New Roman" w:hAnsi="Times New Roman" w:cs="Times New Roman"/>
                <w:b/>
                <w:sz w:val="24"/>
                <w:szCs w:val="24"/>
              </w:rPr>
            </w:pPr>
          </w:p>
        </w:tc>
        <w:tc>
          <w:tcPr>
            <w:tcW w:w="1226" w:type="dxa"/>
          </w:tcPr>
          <w:p w:rsidR="00CC068E" w:rsidRPr="00A44B59" w:rsidRDefault="00CC068E" w:rsidP="00A33928">
            <w:pPr>
              <w:rPr>
                <w:rFonts w:ascii="Times New Roman" w:hAnsi="Times New Roman" w:cs="Times New Roman"/>
                <w:b/>
                <w:sz w:val="24"/>
                <w:szCs w:val="24"/>
              </w:rPr>
            </w:pPr>
          </w:p>
        </w:tc>
        <w:tc>
          <w:tcPr>
            <w:tcW w:w="1287" w:type="dxa"/>
          </w:tcPr>
          <w:p w:rsidR="00CC068E" w:rsidRPr="00A44B59" w:rsidRDefault="00CC068E" w:rsidP="00A33928">
            <w:pPr>
              <w:rPr>
                <w:rFonts w:ascii="Times New Roman" w:hAnsi="Times New Roman" w:cs="Times New Roman"/>
                <w:b/>
                <w:sz w:val="24"/>
                <w:szCs w:val="24"/>
              </w:rPr>
            </w:pPr>
          </w:p>
        </w:tc>
      </w:tr>
    </w:tbl>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p w:rsidR="00CC068E" w:rsidRPr="002E14B2" w:rsidRDefault="00CC068E" w:rsidP="002E14B2">
      <w:pPr>
        <w:pStyle w:val="Style2"/>
        <w:widowControl/>
        <w:spacing w:before="48" w:line="240" w:lineRule="auto"/>
        <w:ind w:firstLine="0"/>
        <w:jc w:val="left"/>
        <w:outlineLvl w:val="0"/>
        <w:rPr>
          <w:rStyle w:val="FontStyle12"/>
          <w:bCs/>
          <w:szCs w:val="20"/>
        </w:rPr>
      </w:pPr>
    </w:p>
    <w:p w:rsidR="00CC068E" w:rsidRPr="002E14B2" w:rsidRDefault="00CC068E" w:rsidP="002E14B2">
      <w:pPr>
        <w:pStyle w:val="Style2"/>
        <w:widowControl/>
        <w:spacing w:before="48" w:line="240" w:lineRule="auto"/>
        <w:ind w:firstLine="0"/>
        <w:jc w:val="left"/>
        <w:outlineLvl w:val="0"/>
        <w:rPr>
          <w:rStyle w:val="FontStyle12"/>
          <w:bCs/>
          <w:szCs w:val="20"/>
        </w:rPr>
      </w:pPr>
    </w:p>
    <w:p w:rsidR="00CC068E" w:rsidRPr="002E14B2" w:rsidRDefault="00CC068E" w:rsidP="002E14B2">
      <w:pPr>
        <w:pStyle w:val="Style2"/>
        <w:widowControl/>
        <w:spacing w:before="48" w:line="240" w:lineRule="auto"/>
        <w:ind w:firstLine="0"/>
        <w:jc w:val="left"/>
        <w:outlineLvl w:val="0"/>
        <w:rPr>
          <w:rStyle w:val="FontStyle12"/>
          <w:bCs/>
          <w:szCs w:val="20"/>
        </w:rPr>
      </w:pPr>
    </w:p>
    <w:sectPr w:rsidR="00CC068E" w:rsidRPr="002E14B2" w:rsidSect="009431E7">
      <w:headerReference w:type="default" r:id="rId7"/>
      <w:pgSz w:w="11906" w:h="16838"/>
      <w:pgMar w:top="567" w:right="624" w:bottom="567" w:left="119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6" w:rsidRDefault="00641106">
      <w:r>
        <w:separator/>
      </w:r>
    </w:p>
  </w:endnote>
  <w:endnote w:type="continuationSeparator" w:id="0">
    <w:p w:rsidR="00641106" w:rsidRDefault="0064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6" w:rsidRDefault="00641106">
      <w:r>
        <w:separator/>
      </w:r>
    </w:p>
  </w:footnote>
  <w:footnote w:type="continuationSeparator" w:id="0">
    <w:p w:rsidR="00641106" w:rsidRDefault="006411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6B0712">
      <w:rPr>
        <w:rFonts w:ascii="Times New Roman" w:hAnsi="Times New Roman" w:cs="Times New Roman"/>
        <w:noProof/>
        <w:color w:val="000000"/>
        <w:sz w:val="28"/>
        <w:szCs w:val="28"/>
      </w:rPr>
      <w:t>8</w:t>
    </w:r>
    <w:r>
      <w:rPr>
        <w:rFonts w:ascii="Times New Roman" w:hAnsi="Times New Roman" w:cs="Times New Roman"/>
        <w:color w:val="000000"/>
        <w:sz w:val="28"/>
        <w:szCs w:val="28"/>
      </w:rPr>
      <w:fldChar w:fldCharType="end"/>
    </w:r>
  </w:p>
  <w:p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229C3"/>
    <w:rsid w:val="00041E6B"/>
    <w:rsid w:val="00047316"/>
    <w:rsid w:val="00065B2E"/>
    <w:rsid w:val="00083E96"/>
    <w:rsid w:val="000921D9"/>
    <w:rsid w:val="00093412"/>
    <w:rsid w:val="0009430D"/>
    <w:rsid w:val="00097089"/>
    <w:rsid w:val="000A2167"/>
    <w:rsid w:val="000A264C"/>
    <w:rsid w:val="000E070A"/>
    <w:rsid w:val="00130475"/>
    <w:rsid w:val="00144973"/>
    <w:rsid w:val="00154823"/>
    <w:rsid w:val="00157E3E"/>
    <w:rsid w:val="001849F5"/>
    <w:rsid w:val="001975AD"/>
    <w:rsid w:val="001A2DC8"/>
    <w:rsid w:val="001B4D11"/>
    <w:rsid w:val="001C0666"/>
    <w:rsid w:val="001C3F7E"/>
    <w:rsid w:val="00210F12"/>
    <w:rsid w:val="002144AC"/>
    <w:rsid w:val="0023022F"/>
    <w:rsid w:val="002377EF"/>
    <w:rsid w:val="00241D05"/>
    <w:rsid w:val="00262163"/>
    <w:rsid w:val="00272511"/>
    <w:rsid w:val="00296887"/>
    <w:rsid w:val="00296E07"/>
    <w:rsid w:val="002C58FF"/>
    <w:rsid w:val="002D280E"/>
    <w:rsid w:val="002E0BC2"/>
    <w:rsid w:val="002E14B2"/>
    <w:rsid w:val="002F12C4"/>
    <w:rsid w:val="0031639D"/>
    <w:rsid w:val="00322F40"/>
    <w:rsid w:val="00323933"/>
    <w:rsid w:val="0034142E"/>
    <w:rsid w:val="003429FF"/>
    <w:rsid w:val="0036697A"/>
    <w:rsid w:val="00380B45"/>
    <w:rsid w:val="0039179D"/>
    <w:rsid w:val="003A1CF4"/>
    <w:rsid w:val="003B03E6"/>
    <w:rsid w:val="003B2415"/>
    <w:rsid w:val="003B6FC8"/>
    <w:rsid w:val="003C2EB4"/>
    <w:rsid w:val="003C5441"/>
    <w:rsid w:val="003E2C82"/>
    <w:rsid w:val="003F1FF1"/>
    <w:rsid w:val="003F4F1C"/>
    <w:rsid w:val="00431E55"/>
    <w:rsid w:val="0044281B"/>
    <w:rsid w:val="004528A3"/>
    <w:rsid w:val="00452E96"/>
    <w:rsid w:val="00452F14"/>
    <w:rsid w:val="00480312"/>
    <w:rsid w:val="00485FB6"/>
    <w:rsid w:val="004A2165"/>
    <w:rsid w:val="004A7B33"/>
    <w:rsid w:val="004B0439"/>
    <w:rsid w:val="004C3E25"/>
    <w:rsid w:val="004C5482"/>
    <w:rsid w:val="004D01A2"/>
    <w:rsid w:val="004D5C1B"/>
    <w:rsid w:val="004F2C10"/>
    <w:rsid w:val="004F3E6D"/>
    <w:rsid w:val="005001AE"/>
    <w:rsid w:val="0052025B"/>
    <w:rsid w:val="005233A9"/>
    <w:rsid w:val="00535835"/>
    <w:rsid w:val="00551B0E"/>
    <w:rsid w:val="005526D6"/>
    <w:rsid w:val="00593ED6"/>
    <w:rsid w:val="005A4C77"/>
    <w:rsid w:val="005A69E6"/>
    <w:rsid w:val="005D048F"/>
    <w:rsid w:val="006059CE"/>
    <w:rsid w:val="006141C5"/>
    <w:rsid w:val="00623213"/>
    <w:rsid w:val="00625E83"/>
    <w:rsid w:val="00641106"/>
    <w:rsid w:val="00652419"/>
    <w:rsid w:val="00680184"/>
    <w:rsid w:val="0068275B"/>
    <w:rsid w:val="00683A48"/>
    <w:rsid w:val="006856CD"/>
    <w:rsid w:val="00697B0E"/>
    <w:rsid w:val="006B0712"/>
    <w:rsid w:val="006B26D1"/>
    <w:rsid w:val="006B5F91"/>
    <w:rsid w:val="006C53C5"/>
    <w:rsid w:val="006F1902"/>
    <w:rsid w:val="007000DB"/>
    <w:rsid w:val="007844AB"/>
    <w:rsid w:val="007A4A03"/>
    <w:rsid w:val="007B08B6"/>
    <w:rsid w:val="007C7122"/>
    <w:rsid w:val="007D596C"/>
    <w:rsid w:val="007E437C"/>
    <w:rsid w:val="008029F7"/>
    <w:rsid w:val="008039FB"/>
    <w:rsid w:val="00816F52"/>
    <w:rsid w:val="00834DD3"/>
    <w:rsid w:val="00844F6C"/>
    <w:rsid w:val="00854306"/>
    <w:rsid w:val="00863E60"/>
    <w:rsid w:val="00870DAB"/>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84C22"/>
    <w:rsid w:val="009A6958"/>
    <w:rsid w:val="009B0463"/>
    <w:rsid w:val="009B46E4"/>
    <w:rsid w:val="009C7E00"/>
    <w:rsid w:val="009E20FB"/>
    <w:rsid w:val="009F389D"/>
    <w:rsid w:val="00A268FB"/>
    <w:rsid w:val="00A26A6A"/>
    <w:rsid w:val="00A33928"/>
    <w:rsid w:val="00A44B59"/>
    <w:rsid w:val="00A6562C"/>
    <w:rsid w:val="00A7464F"/>
    <w:rsid w:val="00AD4F40"/>
    <w:rsid w:val="00AD65E6"/>
    <w:rsid w:val="00AE443E"/>
    <w:rsid w:val="00AF1288"/>
    <w:rsid w:val="00B0166E"/>
    <w:rsid w:val="00B25418"/>
    <w:rsid w:val="00B305C5"/>
    <w:rsid w:val="00B402EF"/>
    <w:rsid w:val="00B718C2"/>
    <w:rsid w:val="00B7359F"/>
    <w:rsid w:val="00B93666"/>
    <w:rsid w:val="00BA41F3"/>
    <w:rsid w:val="00BB6EAA"/>
    <w:rsid w:val="00BD7E73"/>
    <w:rsid w:val="00BE631B"/>
    <w:rsid w:val="00BF023C"/>
    <w:rsid w:val="00C17C88"/>
    <w:rsid w:val="00C21901"/>
    <w:rsid w:val="00C23BE1"/>
    <w:rsid w:val="00C26E0D"/>
    <w:rsid w:val="00C337B9"/>
    <w:rsid w:val="00C370E5"/>
    <w:rsid w:val="00C440C9"/>
    <w:rsid w:val="00C473A2"/>
    <w:rsid w:val="00C5003A"/>
    <w:rsid w:val="00C75217"/>
    <w:rsid w:val="00C85782"/>
    <w:rsid w:val="00C93EBA"/>
    <w:rsid w:val="00C9463A"/>
    <w:rsid w:val="00CA625A"/>
    <w:rsid w:val="00CC068E"/>
    <w:rsid w:val="00CE118B"/>
    <w:rsid w:val="00CE1F7D"/>
    <w:rsid w:val="00CF25FD"/>
    <w:rsid w:val="00CF36FF"/>
    <w:rsid w:val="00D132F7"/>
    <w:rsid w:val="00D20742"/>
    <w:rsid w:val="00D5392C"/>
    <w:rsid w:val="00D53EB6"/>
    <w:rsid w:val="00D55C5F"/>
    <w:rsid w:val="00D6207B"/>
    <w:rsid w:val="00D84D56"/>
    <w:rsid w:val="00D93E1D"/>
    <w:rsid w:val="00DA6FF4"/>
    <w:rsid w:val="00DD0E63"/>
    <w:rsid w:val="00DD4065"/>
    <w:rsid w:val="00E131BF"/>
    <w:rsid w:val="00E162E6"/>
    <w:rsid w:val="00E16EDF"/>
    <w:rsid w:val="00E22CE4"/>
    <w:rsid w:val="00E33230"/>
    <w:rsid w:val="00E42F98"/>
    <w:rsid w:val="00E67D61"/>
    <w:rsid w:val="00E81642"/>
    <w:rsid w:val="00EA5074"/>
    <w:rsid w:val="00EA77F7"/>
    <w:rsid w:val="00EB220B"/>
    <w:rsid w:val="00EC33FA"/>
    <w:rsid w:val="00EC458C"/>
    <w:rsid w:val="00EE0541"/>
    <w:rsid w:val="00EE0C4D"/>
    <w:rsid w:val="00EE3A95"/>
    <w:rsid w:val="00F04768"/>
    <w:rsid w:val="00F81F40"/>
    <w:rsid w:val="00F860DC"/>
    <w:rsid w:val="00F87F46"/>
    <w:rsid w:val="00F91B56"/>
    <w:rsid w:val="00F9405C"/>
    <w:rsid w:val="00F962B0"/>
    <w:rsid w:val="00FB2016"/>
    <w:rsid w:val="00FB2530"/>
    <w:rsid w:val="00FB2CC1"/>
    <w:rsid w:val="00FC70EA"/>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A67F11"/>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1760</TotalTime>
  <Pages>1</Pages>
  <Words>3904</Words>
  <Characters>22255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57</cp:revision>
  <cp:lastPrinted>2020-06-05T09:18:00Z</cp:lastPrinted>
  <dcterms:created xsi:type="dcterms:W3CDTF">2020-05-05T13:00:00Z</dcterms:created>
  <dcterms:modified xsi:type="dcterms:W3CDTF">2024-02-07T09:19:00Z</dcterms:modified>
</cp:coreProperties>
</file>