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7F9740B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270AB9">
        <w:rPr>
          <w:rFonts w:ascii="Times New Roman" w:hAnsi="Times New Roman"/>
          <w:b/>
          <w:sz w:val="24"/>
          <w:szCs w:val="24"/>
          <w:lang w:val="uk-UA" w:eastAsia="uk-UA"/>
        </w:rPr>
        <w:t>05</w:t>
      </w:r>
      <w:r w:rsidRPr="00D00040">
        <w:rPr>
          <w:rFonts w:ascii="Times New Roman" w:hAnsi="Times New Roman"/>
          <w:b/>
          <w:sz w:val="24"/>
          <w:szCs w:val="24"/>
          <w:lang w:eastAsia="uk-UA"/>
        </w:rPr>
        <w:t xml:space="preserve"> </w:t>
      </w:r>
      <w:r w:rsidR="00270AB9">
        <w:rPr>
          <w:rFonts w:ascii="Times New Roman" w:hAnsi="Times New Roman"/>
          <w:b/>
          <w:sz w:val="24"/>
          <w:szCs w:val="24"/>
          <w:lang w:val="uk-UA" w:eastAsia="uk-UA"/>
        </w:rPr>
        <w:t>квітня</w:t>
      </w:r>
      <w:r w:rsidR="00A26D0A">
        <w:rPr>
          <w:rFonts w:ascii="Times New Roman" w:hAnsi="Times New Roman"/>
          <w:b/>
          <w:sz w:val="24"/>
          <w:szCs w:val="24"/>
          <w:lang w:val="uk-UA" w:eastAsia="uk-UA"/>
        </w:rPr>
        <w:t xml:space="preserve"> </w:t>
      </w:r>
      <w:r w:rsidR="0074031F">
        <w:rPr>
          <w:rFonts w:ascii="Times New Roman" w:hAnsi="Times New Roman"/>
          <w:b/>
          <w:sz w:val="24"/>
          <w:szCs w:val="24"/>
          <w:lang w:eastAsia="uk-UA"/>
        </w:rPr>
        <w:t>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2B8EA44F" w:rsidR="009F6B37" w:rsidRPr="00E9759F" w:rsidRDefault="00270AB9"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Ліжка та матраси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51AF7A1"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F08F7">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270AB9"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270AB9">
              <w:rPr>
                <w:rFonts w:ascii="Times New Roman" w:hAnsi="Times New Roman"/>
                <w:b/>
                <w:sz w:val="24"/>
                <w:szCs w:val="24"/>
                <w:lang w:val="en-US"/>
              </w:rPr>
              <w:t>-</w:t>
            </w:r>
            <w:r w:rsidRPr="00132845">
              <w:rPr>
                <w:rFonts w:ascii="Times New Roman" w:hAnsi="Times New Roman"/>
                <w:b/>
                <w:sz w:val="24"/>
                <w:szCs w:val="24"/>
                <w:lang w:val="en-US"/>
              </w:rPr>
              <w:t>mail</w:t>
            </w:r>
            <w:r w:rsidRPr="00270AB9">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270AB9">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270AB9">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DF08F7"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7C21A33A" w:rsidR="005745E4" w:rsidRPr="00E9759F" w:rsidRDefault="00270AB9"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Ліжка та матраси</w:t>
            </w:r>
          </w:p>
          <w:p w14:paraId="2746C8F9" w14:textId="12E603D7" w:rsidR="00270AB9" w:rsidRPr="00E9759F" w:rsidRDefault="009F6B37" w:rsidP="00C757E6">
            <w:pPr>
              <w:spacing w:after="0" w:line="240" w:lineRule="auto"/>
              <w:jc w:val="both"/>
              <w:rPr>
                <w:rFonts w:ascii="Times New Roman" w:hAnsi="Times New Roman"/>
                <w:sz w:val="24"/>
                <w:szCs w:val="24"/>
              </w:rPr>
            </w:pPr>
            <w:r w:rsidRPr="00E9759F">
              <w:rPr>
                <w:rFonts w:ascii="Times New Roman" w:hAnsi="Times New Roman"/>
                <w:sz w:val="24"/>
                <w:szCs w:val="24"/>
                <w:lang w:val="uk-UA"/>
              </w:rPr>
              <w:t>Код ДК 021:2015:</w:t>
            </w:r>
            <w:r w:rsidRPr="00E9759F">
              <w:rPr>
                <w:rFonts w:ascii="Times New Roman" w:hAnsi="Times New Roman"/>
                <w:b/>
                <w:sz w:val="24"/>
                <w:szCs w:val="24"/>
                <w:lang w:val="uk-UA"/>
              </w:rPr>
              <w:t xml:space="preserve"> </w:t>
            </w:r>
            <w:r w:rsidR="00270AB9" w:rsidRPr="00270AB9">
              <w:rPr>
                <w:rFonts w:ascii="Times New Roman" w:eastAsia="Times New Roman" w:hAnsi="Times New Roman"/>
                <w:sz w:val="24"/>
                <w:szCs w:val="24"/>
                <w:lang w:eastAsia="ru-RU"/>
              </w:rPr>
              <w:t>39140000-5 - Меблі для дому</w:t>
            </w:r>
          </w:p>
          <w:p w14:paraId="498B0B88" w14:textId="6198BB37" w:rsidR="009A6183" w:rsidRPr="00203A89" w:rsidRDefault="009A6183" w:rsidP="00C757E6">
            <w:pPr>
              <w:spacing w:after="0" w:line="240" w:lineRule="auto"/>
              <w:jc w:val="both"/>
              <w:rPr>
                <w:rFonts w:ascii="Times New Roman" w:hAnsi="Times New Roman"/>
                <w:sz w:val="24"/>
                <w:szCs w:val="24"/>
                <w:lang w:val="uk-UA"/>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2A7F85A3"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70AB9">
              <w:rPr>
                <w:rFonts w:ascii="Times New Roman" w:eastAsia="Times New Roman" w:hAnsi="Times New Roman"/>
                <w:b/>
                <w:sz w:val="24"/>
                <w:szCs w:val="24"/>
                <w:lang w:val="uk-UA" w:eastAsia="ru-RU"/>
              </w:rPr>
              <w:t>2</w:t>
            </w:r>
            <w:r w:rsidR="005C2D43" w:rsidRPr="005C2D43">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70AB9"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70AB9"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270AB9"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270AB9"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70AB9"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4B65030" w:rsidR="0082608A" w:rsidRPr="001165DC" w:rsidRDefault="00270AB9"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w:t>
            </w:r>
            <w:r w:rsidR="00A20230">
              <w:rPr>
                <w:rFonts w:ascii="Times New Roman" w:eastAsia="Times New Roman" w:hAnsi="Times New Roman"/>
                <w:b/>
                <w:sz w:val="24"/>
                <w:szCs w:val="24"/>
                <w:lang w:val="uk-UA" w:eastAsia="ru-RU"/>
              </w:rPr>
              <w:t>3</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270AB9"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F51D22">
              <w:rPr>
                <w:rFonts w:ascii="Times New Roman" w:eastAsia="Times New Roman" w:hAnsi="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270AB9"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C10F2A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270AB9">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270AB9">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270AB9">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270AB9">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270AB9">
              <w:rPr>
                <w:rFonts w:ascii="Times New Roman" w:eastAsia="Times New Roman" w:hAnsi="Times New Roman"/>
                <w:sz w:val="24"/>
                <w:szCs w:val="24"/>
                <w:lang w:val="uk-UA"/>
              </w:rPr>
              <w:t xml:space="preserve"> /Ісламської республіки Іран</w:t>
            </w:r>
            <w:r w:rsidRPr="007A75D9">
              <w:rPr>
                <w:rFonts w:ascii="Times New Roman" w:eastAsia="Times New Roman" w:hAnsi="Times New Roman"/>
                <w:sz w:val="24"/>
                <w:szCs w:val="24"/>
                <w:lang w:val="uk-UA"/>
              </w:rPr>
              <w:t>.</w:t>
            </w:r>
          </w:p>
          <w:p w14:paraId="1FA5531D" w14:textId="1FBF4E87"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70AB9">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w:t>
            </w:r>
            <w:r w:rsidRPr="007A75D9">
              <w:rPr>
                <w:rFonts w:ascii="Times New Roman" w:eastAsia="Times New Roman" w:hAnsi="Times New Roman"/>
                <w:sz w:val="24"/>
                <w:szCs w:val="24"/>
                <w:lang w:val="uk-UA"/>
              </w:rPr>
              <w:lastRenderedPageBreak/>
              <w:t>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4D2AE5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711FCFF5"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w:t>
            </w:r>
            <w:r w:rsidRPr="007A75D9">
              <w:rPr>
                <w:rFonts w:ascii="Times New Roman" w:eastAsia="Times New Roman" w:hAnsi="Times New Roman"/>
                <w:color w:val="000000" w:themeColor="text1"/>
                <w:sz w:val="24"/>
                <w:szCs w:val="24"/>
                <w:lang w:val="uk-UA"/>
              </w:rPr>
              <w:lastRenderedPageBreak/>
              <w:t>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270AB9">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w:t>
            </w:r>
            <w:r w:rsidRPr="00D03E3F">
              <w:rPr>
                <w:rFonts w:ascii="Times New Roman" w:eastAsia="Times New Roman" w:hAnsi="Times New Roman"/>
                <w:sz w:val="24"/>
                <w:szCs w:val="24"/>
                <w:lang w:val="uk-UA" w:eastAsia="ru-RU"/>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0EA2ACEB" w:rsidR="00203A89" w:rsidRPr="002D2F40" w:rsidRDefault="00203A89" w:rsidP="00270AB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270AB9">
              <w:rPr>
                <w:rFonts w:ascii="Times New Roman" w:hAnsi="Times New Roman"/>
                <w:sz w:val="24"/>
                <w:szCs w:val="24"/>
              </w:rPr>
              <w:t>3</w:t>
            </w:r>
            <w:r>
              <w:rPr>
                <w:rFonts w:ascii="Times New Roman" w:hAnsi="Times New Roman"/>
                <w:sz w:val="24"/>
                <w:szCs w:val="24"/>
              </w:rPr>
              <w:t xml:space="preserve"> 5</w:t>
            </w:r>
            <w:r w:rsidRPr="004E7C56">
              <w:rPr>
                <w:rFonts w:ascii="Times New Roman" w:hAnsi="Times New Roman"/>
                <w:sz w:val="24"/>
                <w:szCs w:val="24"/>
              </w:rPr>
              <w:t>00,00 грн. (</w:t>
            </w:r>
            <w:r w:rsidR="00270AB9">
              <w:rPr>
                <w:rFonts w:ascii="Times New Roman" w:hAnsi="Times New Roman"/>
                <w:sz w:val="24"/>
                <w:szCs w:val="24"/>
              </w:rPr>
              <w:t xml:space="preserve">Три тисячі </w:t>
            </w:r>
            <w:r>
              <w:rPr>
                <w:rFonts w:ascii="Times New Roman" w:hAnsi="Times New Roman"/>
                <w:sz w:val="24"/>
                <w:szCs w:val="24"/>
              </w:rPr>
              <w:t>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EF517D1"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270AB9">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70AB9">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70AB9">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270AB9">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70AB9">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70AB9">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270AB9"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270AB9"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70AB9"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270AB9"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270AB9"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70AB9"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270AB9"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0BB1AD19" w14:textId="572B5520" w:rsidR="00DF08F7" w:rsidRPr="00DF08F7" w:rsidRDefault="00BF7B5A" w:rsidP="00DF08F7">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1023" w:type="dxa"/>
        <w:tblInd w:w="-680" w:type="dxa"/>
        <w:tblLayout w:type="fixed"/>
        <w:tblLook w:val="04A0" w:firstRow="1" w:lastRow="0" w:firstColumn="1" w:lastColumn="0" w:noHBand="0" w:noVBand="1"/>
      </w:tblPr>
      <w:tblGrid>
        <w:gridCol w:w="7621"/>
        <w:gridCol w:w="1559"/>
        <w:gridCol w:w="1843"/>
      </w:tblGrid>
      <w:tr w:rsidR="00D003D5" w:rsidRPr="00EE39AC" w14:paraId="2E383778" w14:textId="77777777" w:rsidTr="00D003D5">
        <w:tc>
          <w:tcPr>
            <w:tcW w:w="7621" w:type="dxa"/>
          </w:tcPr>
          <w:p w14:paraId="329F4220" w14:textId="77777777" w:rsidR="00D003D5" w:rsidRPr="00D003D5" w:rsidRDefault="00D003D5" w:rsidP="00C6381E">
            <w:pPr>
              <w:rPr>
                <w:rFonts w:ascii="Times New Roman" w:hAnsi="Times New Roman"/>
                <w:sz w:val="32"/>
                <w:szCs w:val="32"/>
              </w:rPr>
            </w:pPr>
          </w:p>
          <w:p w14:paraId="22B88DA2" w14:textId="77777777" w:rsidR="00D003D5" w:rsidRPr="00D003D5" w:rsidRDefault="00D003D5" w:rsidP="00C6381E">
            <w:pPr>
              <w:rPr>
                <w:rFonts w:ascii="Times New Roman" w:hAnsi="Times New Roman"/>
                <w:sz w:val="32"/>
                <w:szCs w:val="32"/>
              </w:rPr>
            </w:pPr>
            <w:r w:rsidRPr="00D003D5">
              <w:rPr>
                <w:rFonts w:ascii="Times New Roman" w:hAnsi="Times New Roman"/>
                <w:sz w:val="32"/>
                <w:szCs w:val="32"/>
              </w:rPr>
              <w:t>Найменування</w:t>
            </w:r>
          </w:p>
          <w:p w14:paraId="1D1E48AF" w14:textId="77777777" w:rsidR="00D003D5" w:rsidRPr="00D003D5" w:rsidRDefault="00D003D5" w:rsidP="00C6381E">
            <w:pPr>
              <w:rPr>
                <w:rFonts w:ascii="Times New Roman" w:hAnsi="Times New Roman"/>
                <w:sz w:val="32"/>
                <w:szCs w:val="32"/>
              </w:rPr>
            </w:pPr>
          </w:p>
        </w:tc>
        <w:tc>
          <w:tcPr>
            <w:tcW w:w="1559" w:type="dxa"/>
          </w:tcPr>
          <w:p w14:paraId="2DD72A55" w14:textId="77777777" w:rsidR="00D003D5" w:rsidRPr="00D003D5" w:rsidRDefault="00D003D5" w:rsidP="00C6381E">
            <w:pPr>
              <w:rPr>
                <w:rFonts w:ascii="Times New Roman" w:hAnsi="Times New Roman"/>
                <w:sz w:val="32"/>
                <w:szCs w:val="32"/>
              </w:rPr>
            </w:pPr>
            <w:r w:rsidRPr="00D003D5">
              <w:rPr>
                <w:rFonts w:ascii="Times New Roman" w:hAnsi="Times New Roman"/>
                <w:sz w:val="32"/>
                <w:szCs w:val="32"/>
              </w:rPr>
              <w:t>Одиниця виміру</w:t>
            </w:r>
          </w:p>
        </w:tc>
        <w:tc>
          <w:tcPr>
            <w:tcW w:w="1843" w:type="dxa"/>
          </w:tcPr>
          <w:p w14:paraId="327FC0AB" w14:textId="77777777" w:rsidR="00D003D5" w:rsidRPr="00D003D5" w:rsidRDefault="00D003D5" w:rsidP="00C6381E">
            <w:pPr>
              <w:rPr>
                <w:rFonts w:ascii="Times New Roman" w:hAnsi="Times New Roman"/>
                <w:sz w:val="32"/>
                <w:szCs w:val="32"/>
              </w:rPr>
            </w:pPr>
            <w:r w:rsidRPr="00D003D5">
              <w:rPr>
                <w:rFonts w:ascii="Times New Roman" w:hAnsi="Times New Roman"/>
                <w:sz w:val="32"/>
                <w:szCs w:val="32"/>
              </w:rPr>
              <w:t>Кількість</w:t>
            </w:r>
          </w:p>
        </w:tc>
      </w:tr>
      <w:tr w:rsidR="00D003D5" w:rsidRPr="00812D95" w14:paraId="7BA73B55" w14:textId="77777777" w:rsidTr="00D003D5">
        <w:tblPrEx>
          <w:tblLook w:val="0000" w:firstRow="0" w:lastRow="0" w:firstColumn="0" w:lastColumn="0" w:noHBand="0" w:noVBand="0"/>
        </w:tblPrEx>
        <w:trPr>
          <w:trHeight w:val="420"/>
        </w:trPr>
        <w:tc>
          <w:tcPr>
            <w:tcW w:w="7621" w:type="dxa"/>
          </w:tcPr>
          <w:p w14:paraId="3DB4D262" w14:textId="77777777" w:rsidR="00D003D5" w:rsidRPr="00D003D5" w:rsidRDefault="00D003D5" w:rsidP="00C6381E">
            <w:pPr>
              <w:ind w:left="108"/>
              <w:rPr>
                <w:rFonts w:ascii="Times New Roman" w:hAnsi="Times New Roman"/>
                <w:sz w:val="24"/>
                <w:szCs w:val="24"/>
              </w:rPr>
            </w:pPr>
            <w:r w:rsidRPr="00D003D5">
              <w:rPr>
                <w:rFonts w:ascii="Times New Roman" w:hAnsi="Times New Roman"/>
                <w:sz w:val="24"/>
                <w:szCs w:val="24"/>
              </w:rPr>
              <w:t xml:space="preserve">Ліжко односпальне із </w:t>
            </w:r>
            <w:proofErr w:type="gramStart"/>
            <w:r w:rsidRPr="00D003D5">
              <w:rPr>
                <w:rFonts w:ascii="Times New Roman" w:hAnsi="Times New Roman"/>
                <w:sz w:val="24"/>
                <w:szCs w:val="24"/>
              </w:rPr>
              <w:t>дерева  бук</w:t>
            </w:r>
            <w:proofErr w:type="gramEnd"/>
            <w:r w:rsidRPr="00D003D5">
              <w:rPr>
                <w:rFonts w:ascii="Times New Roman" w:hAnsi="Times New Roman"/>
                <w:sz w:val="24"/>
                <w:szCs w:val="24"/>
              </w:rPr>
              <w:t>, світло коричневого кольору з міцними ламелями.              Довжина 200 см.  Ширина 90см.         Висота підніжжя 50 см.                         Висота ізголів'я 70 см.</w:t>
            </w:r>
          </w:p>
        </w:tc>
        <w:tc>
          <w:tcPr>
            <w:tcW w:w="1559" w:type="dxa"/>
          </w:tcPr>
          <w:p w14:paraId="5CF7C0A2" w14:textId="77777777" w:rsidR="00D003D5" w:rsidRPr="00D003D5" w:rsidRDefault="00D003D5" w:rsidP="00C6381E">
            <w:pPr>
              <w:rPr>
                <w:rFonts w:ascii="Times New Roman" w:hAnsi="Times New Roman"/>
                <w:b/>
                <w:sz w:val="24"/>
                <w:szCs w:val="24"/>
              </w:rPr>
            </w:pPr>
            <w:r w:rsidRPr="00D003D5">
              <w:rPr>
                <w:rFonts w:ascii="Times New Roman" w:hAnsi="Times New Roman"/>
                <w:b/>
                <w:sz w:val="24"/>
                <w:szCs w:val="24"/>
              </w:rPr>
              <w:t>шт</w:t>
            </w:r>
          </w:p>
        </w:tc>
        <w:tc>
          <w:tcPr>
            <w:tcW w:w="1843" w:type="dxa"/>
          </w:tcPr>
          <w:p w14:paraId="27A5E82F" w14:textId="77777777" w:rsidR="00D003D5" w:rsidRPr="00D003D5" w:rsidRDefault="00D003D5" w:rsidP="00C6381E">
            <w:pPr>
              <w:rPr>
                <w:rFonts w:ascii="Times New Roman" w:hAnsi="Times New Roman"/>
                <w:b/>
                <w:sz w:val="24"/>
                <w:szCs w:val="24"/>
              </w:rPr>
            </w:pPr>
            <w:r w:rsidRPr="00D003D5">
              <w:rPr>
                <w:rFonts w:ascii="Times New Roman" w:hAnsi="Times New Roman"/>
                <w:b/>
                <w:sz w:val="24"/>
                <w:szCs w:val="24"/>
              </w:rPr>
              <w:t>20</w:t>
            </w:r>
          </w:p>
        </w:tc>
      </w:tr>
      <w:tr w:rsidR="00D003D5" w:rsidRPr="00812D95" w14:paraId="255DDA03" w14:textId="77777777" w:rsidTr="00D003D5">
        <w:tblPrEx>
          <w:tblLook w:val="0000" w:firstRow="0" w:lastRow="0" w:firstColumn="0" w:lastColumn="0" w:noHBand="0" w:noVBand="0"/>
        </w:tblPrEx>
        <w:trPr>
          <w:trHeight w:val="420"/>
        </w:trPr>
        <w:tc>
          <w:tcPr>
            <w:tcW w:w="7621" w:type="dxa"/>
          </w:tcPr>
          <w:p w14:paraId="599C171A" w14:textId="77777777" w:rsidR="00D003D5" w:rsidRPr="00D003D5" w:rsidRDefault="00D003D5" w:rsidP="00C6381E">
            <w:pPr>
              <w:ind w:left="108"/>
              <w:rPr>
                <w:rFonts w:ascii="Times New Roman" w:hAnsi="Times New Roman"/>
                <w:sz w:val="24"/>
                <w:szCs w:val="24"/>
              </w:rPr>
            </w:pPr>
            <w:r w:rsidRPr="00D003D5">
              <w:rPr>
                <w:rFonts w:ascii="Times New Roman" w:hAnsi="Times New Roman"/>
                <w:sz w:val="24"/>
                <w:szCs w:val="24"/>
              </w:rPr>
              <w:t xml:space="preserve">Матрац </w:t>
            </w:r>
            <w:proofErr w:type="gramStart"/>
            <w:r w:rsidRPr="00D003D5">
              <w:rPr>
                <w:rFonts w:ascii="Times New Roman" w:hAnsi="Times New Roman"/>
                <w:sz w:val="24"/>
                <w:szCs w:val="24"/>
              </w:rPr>
              <w:t>ватний  одинарний</w:t>
            </w:r>
            <w:proofErr w:type="gramEnd"/>
            <w:r w:rsidRPr="00D003D5">
              <w:rPr>
                <w:rFonts w:ascii="Times New Roman" w:hAnsi="Times New Roman"/>
                <w:sz w:val="24"/>
                <w:szCs w:val="24"/>
              </w:rPr>
              <w:t xml:space="preserve">     (90х190х15)Наповнювач ватин ,чохол із міцного  бавовняного матеріалу-тику по всій довжині  матраца виконано симетрична пікіровка</w:t>
            </w:r>
          </w:p>
        </w:tc>
        <w:tc>
          <w:tcPr>
            <w:tcW w:w="1559" w:type="dxa"/>
          </w:tcPr>
          <w:p w14:paraId="542F1796" w14:textId="77777777" w:rsidR="00D003D5" w:rsidRPr="00D003D5" w:rsidRDefault="00D003D5" w:rsidP="00C6381E">
            <w:pPr>
              <w:rPr>
                <w:rFonts w:ascii="Times New Roman" w:hAnsi="Times New Roman"/>
                <w:b/>
                <w:sz w:val="24"/>
                <w:szCs w:val="24"/>
              </w:rPr>
            </w:pPr>
            <w:r w:rsidRPr="00D003D5">
              <w:rPr>
                <w:rFonts w:ascii="Times New Roman" w:hAnsi="Times New Roman"/>
                <w:b/>
                <w:sz w:val="24"/>
                <w:szCs w:val="24"/>
              </w:rPr>
              <w:t>шт</w:t>
            </w:r>
          </w:p>
        </w:tc>
        <w:tc>
          <w:tcPr>
            <w:tcW w:w="1843" w:type="dxa"/>
          </w:tcPr>
          <w:p w14:paraId="2DA8B8D9" w14:textId="77777777" w:rsidR="00D003D5" w:rsidRPr="00D003D5" w:rsidRDefault="00D003D5" w:rsidP="00C6381E">
            <w:pPr>
              <w:rPr>
                <w:rFonts w:ascii="Times New Roman" w:hAnsi="Times New Roman"/>
                <w:b/>
                <w:sz w:val="24"/>
                <w:szCs w:val="24"/>
              </w:rPr>
            </w:pPr>
            <w:r w:rsidRPr="00D003D5">
              <w:rPr>
                <w:rFonts w:ascii="Times New Roman" w:hAnsi="Times New Roman"/>
                <w:b/>
                <w:sz w:val="24"/>
                <w:szCs w:val="24"/>
              </w:rPr>
              <w:t>40</w:t>
            </w:r>
          </w:p>
        </w:tc>
      </w:tr>
    </w:tbl>
    <w:p w14:paraId="4D9811C3" w14:textId="77777777" w:rsidR="00DF08F7" w:rsidRPr="0036735D" w:rsidRDefault="00DF08F7" w:rsidP="00DF08F7">
      <w:pPr>
        <w:spacing w:after="0" w:line="240" w:lineRule="auto"/>
        <w:jc w:val="right"/>
        <w:rPr>
          <w:rFonts w:ascii="Times New Roman" w:hAnsi="Times New Roman"/>
          <w:b/>
          <w:bCs/>
          <w:sz w:val="24"/>
          <w:szCs w:val="24"/>
        </w:rPr>
      </w:pPr>
    </w:p>
    <w:p w14:paraId="3902DF06" w14:textId="77777777" w:rsidR="00DF08F7" w:rsidRDefault="00DF08F7" w:rsidP="00E9759F">
      <w:pPr>
        <w:spacing w:after="0" w:line="240" w:lineRule="auto"/>
        <w:rPr>
          <w:rFonts w:ascii="Times New Roman" w:hAnsi="Times New Roman"/>
          <w:b/>
          <w:bCs/>
          <w:sz w:val="24"/>
          <w:szCs w:val="24"/>
          <w:u w:val="single"/>
          <w:lang w:val="uk-UA"/>
        </w:rPr>
      </w:pPr>
    </w:p>
    <w:p w14:paraId="398D3F7A" w14:textId="10DD660C" w:rsidR="00D97F24" w:rsidRDefault="00F862C5" w:rsidP="00E9759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Доставка продукції, збирання, </w:t>
      </w:r>
      <w:r w:rsidR="00E9759F">
        <w:rPr>
          <w:rFonts w:ascii="Times New Roman" w:hAnsi="Times New Roman"/>
          <w:b/>
          <w:bCs/>
          <w:sz w:val="24"/>
          <w:szCs w:val="24"/>
          <w:lang w:val="uk-UA"/>
        </w:rPr>
        <w:t xml:space="preserve">відбувається засобами учасника, </w:t>
      </w:r>
      <w:r>
        <w:rPr>
          <w:rFonts w:ascii="Times New Roman" w:hAnsi="Times New Roman"/>
          <w:b/>
          <w:bCs/>
          <w:sz w:val="24"/>
          <w:szCs w:val="24"/>
          <w:lang w:val="uk-UA"/>
        </w:rPr>
        <w:t>за адресою Замовника.</w:t>
      </w: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6A52D6DF" w14:textId="77777777" w:rsidR="00A26D0A" w:rsidRDefault="00A26D0A" w:rsidP="001165DC">
      <w:pPr>
        <w:spacing w:after="0" w:line="240" w:lineRule="auto"/>
        <w:jc w:val="right"/>
        <w:rPr>
          <w:rFonts w:ascii="Times New Roman" w:hAnsi="Times New Roman"/>
          <w:b/>
          <w:bCs/>
          <w:sz w:val="24"/>
          <w:szCs w:val="24"/>
          <w:lang w:val="uk-UA"/>
        </w:rPr>
      </w:pPr>
    </w:p>
    <w:p w14:paraId="070A1C1B" w14:textId="77777777" w:rsidR="00A26D0A" w:rsidRDefault="00A26D0A" w:rsidP="001165DC">
      <w:pPr>
        <w:spacing w:after="0" w:line="240" w:lineRule="auto"/>
        <w:jc w:val="right"/>
        <w:rPr>
          <w:rFonts w:ascii="Times New Roman" w:hAnsi="Times New Roman"/>
          <w:b/>
          <w:bCs/>
          <w:sz w:val="24"/>
          <w:szCs w:val="24"/>
          <w:lang w:val="uk-UA"/>
        </w:rPr>
      </w:pPr>
    </w:p>
    <w:p w14:paraId="29E4EB49" w14:textId="77777777" w:rsidR="00A26D0A" w:rsidRDefault="00A26D0A" w:rsidP="001165DC">
      <w:pPr>
        <w:spacing w:after="0" w:line="240" w:lineRule="auto"/>
        <w:jc w:val="right"/>
        <w:rPr>
          <w:rFonts w:ascii="Times New Roman" w:hAnsi="Times New Roman"/>
          <w:b/>
          <w:bCs/>
          <w:sz w:val="24"/>
          <w:szCs w:val="24"/>
          <w:lang w:val="uk-UA"/>
        </w:rPr>
      </w:pPr>
    </w:p>
    <w:p w14:paraId="4E232131" w14:textId="77777777" w:rsidR="00A26D0A" w:rsidRDefault="00A26D0A" w:rsidP="001165DC">
      <w:pPr>
        <w:spacing w:after="0" w:line="240" w:lineRule="auto"/>
        <w:jc w:val="right"/>
        <w:rPr>
          <w:rFonts w:ascii="Times New Roman" w:hAnsi="Times New Roman"/>
          <w:b/>
          <w:bCs/>
          <w:sz w:val="24"/>
          <w:szCs w:val="24"/>
          <w:lang w:val="uk-UA"/>
        </w:rPr>
      </w:pPr>
    </w:p>
    <w:p w14:paraId="34BD2E31" w14:textId="77777777" w:rsidR="00A26D0A" w:rsidRDefault="00A26D0A" w:rsidP="001165DC">
      <w:pPr>
        <w:spacing w:after="0" w:line="240" w:lineRule="auto"/>
        <w:jc w:val="right"/>
        <w:rPr>
          <w:rFonts w:ascii="Times New Roman" w:hAnsi="Times New Roman"/>
          <w:b/>
          <w:bCs/>
          <w:sz w:val="24"/>
          <w:szCs w:val="24"/>
          <w:lang w:val="uk-UA"/>
        </w:rPr>
      </w:pPr>
    </w:p>
    <w:p w14:paraId="58A1DC06" w14:textId="77777777" w:rsidR="00A26D0A" w:rsidRDefault="00A26D0A" w:rsidP="001165DC">
      <w:pPr>
        <w:spacing w:after="0" w:line="240" w:lineRule="auto"/>
        <w:jc w:val="right"/>
        <w:rPr>
          <w:rFonts w:ascii="Times New Roman" w:hAnsi="Times New Roman"/>
          <w:b/>
          <w:bCs/>
          <w:sz w:val="24"/>
          <w:szCs w:val="24"/>
          <w:lang w:val="uk-UA"/>
        </w:rPr>
      </w:pPr>
    </w:p>
    <w:p w14:paraId="5482C44B" w14:textId="77777777" w:rsidR="00A26D0A" w:rsidRDefault="00A26D0A" w:rsidP="001165DC">
      <w:pPr>
        <w:spacing w:after="0" w:line="240" w:lineRule="auto"/>
        <w:jc w:val="right"/>
        <w:rPr>
          <w:rFonts w:ascii="Times New Roman" w:hAnsi="Times New Roman"/>
          <w:b/>
          <w:bCs/>
          <w:sz w:val="24"/>
          <w:szCs w:val="24"/>
          <w:lang w:val="uk-UA"/>
        </w:rPr>
      </w:pPr>
    </w:p>
    <w:p w14:paraId="37B16396" w14:textId="77777777" w:rsidR="00A26D0A" w:rsidRDefault="00A26D0A" w:rsidP="001165DC">
      <w:pPr>
        <w:spacing w:after="0" w:line="240" w:lineRule="auto"/>
        <w:jc w:val="right"/>
        <w:rPr>
          <w:rFonts w:ascii="Times New Roman" w:hAnsi="Times New Roman"/>
          <w:b/>
          <w:bCs/>
          <w:sz w:val="24"/>
          <w:szCs w:val="24"/>
          <w:lang w:val="uk-UA"/>
        </w:rPr>
      </w:pPr>
    </w:p>
    <w:p w14:paraId="18A09375" w14:textId="77777777" w:rsidR="00F862C5" w:rsidRDefault="00F862C5" w:rsidP="001165DC">
      <w:pPr>
        <w:spacing w:after="0" w:line="240" w:lineRule="auto"/>
        <w:jc w:val="right"/>
        <w:rPr>
          <w:rFonts w:ascii="Times New Roman" w:hAnsi="Times New Roman"/>
          <w:b/>
          <w:bCs/>
          <w:sz w:val="24"/>
          <w:szCs w:val="24"/>
          <w:lang w:val="uk-UA"/>
        </w:rPr>
      </w:pPr>
    </w:p>
    <w:p w14:paraId="6345B2B6" w14:textId="77777777" w:rsidR="00F862C5" w:rsidRDefault="00F862C5" w:rsidP="001165DC">
      <w:pPr>
        <w:spacing w:after="0" w:line="240" w:lineRule="auto"/>
        <w:jc w:val="right"/>
        <w:rPr>
          <w:rFonts w:ascii="Times New Roman" w:hAnsi="Times New Roman"/>
          <w:b/>
          <w:bCs/>
          <w:sz w:val="24"/>
          <w:szCs w:val="24"/>
          <w:lang w:val="uk-UA"/>
        </w:rPr>
      </w:pPr>
    </w:p>
    <w:p w14:paraId="03E5EDB3" w14:textId="77777777" w:rsidR="00F862C5" w:rsidRDefault="00F862C5" w:rsidP="001165DC">
      <w:pPr>
        <w:spacing w:after="0" w:line="240" w:lineRule="auto"/>
        <w:jc w:val="right"/>
        <w:rPr>
          <w:rFonts w:ascii="Times New Roman" w:hAnsi="Times New Roman"/>
          <w:b/>
          <w:bCs/>
          <w:sz w:val="24"/>
          <w:szCs w:val="24"/>
          <w:lang w:val="uk-UA"/>
        </w:rPr>
      </w:pPr>
    </w:p>
    <w:p w14:paraId="26DCAFFD" w14:textId="77777777" w:rsidR="00F862C5" w:rsidRDefault="00F862C5" w:rsidP="001165DC">
      <w:pPr>
        <w:spacing w:after="0" w:line="240" w:lineRule="auto"/>
        <w:jc w:val="right"/>
        <w:rPr>
          <w:rFonts w:ascii="Times New Roman" w:hAnsi="Times New Roman"/>
          <w:b/>
          <w:bCs/>
          <w:sz w:val="24"/>
          <w:szCs w:val="24"/>
          <w:lang w:val="uk-UA"/>
        </w:rPr>
      </w:pPr>
    </w:p>
    <w:p w14:paraId="7B584D15" w14:textId="77777777" w:rsidR="00F862C5" w:rsidRDefault="00F862C5" w:rsidP="001165DC">
      <w:pPr>
        <w:spacing w:after="0" w:line="240" w:lineRule="auto"/>
        <w:jc w:val="right"/>
        <w:rPr>
          <w:rFonts w:ascii="Times New Roman" w:hAnsi="Times New Roman"/>
          <w:b/>
          <w:bCs/>
          <w:sz w:val="24"/>
          <w:szCs w:val="24"/>
          <w:lang w:val="uk-UA"/>
        </w:rPr>
      </w:pPr>
    </w:p>
    <w:p w14:paraId="0592061C" w14:textId="77777777" w:rsidR="00F862C5" w:rsidRDefault="00F862C5" w:rsidP="001165DC">
      <w:pPr>
        <w:spacing w:after="0" w:line="240" w:lineRule="auto"/>
        <w:jc w:val="right"/>
        <w:rPr>
          <w:rFonts w:ascii="Times New Roman" w:hAnsi="Times New Roman"/>
          <w:b/>
          <w:bCs/>
          <w:sz w:val="24"/>
          <w:szCs w:val="24"/>
          <w:lang w:val="uk-UA"/>
        </w:rPr>
      </w:pPr>
    </w:p>
    <w:p w14:paraId="4E010DCD" w14:textId="77777777" w:rsidR="00F862C5" w:rsidRDefault="00F862C5" w:rsidP="001165DC">
      <w:pPr>
        <w:spacing w:after="0" w:line="240" w:lineRule="auto"/>
        <w:jc w:val="right"/>
        <w:rPr>
          <w:rFonts w:ascii="Times New Roman" w:hAnsi="Times New Roman"/>
          <w:b/>
          <w:bCs/>
          <w:sz w:val="24"/>
          <w:szCs w:val="24"/>
          <w:lang w:val="uk-UA"/>
        </w:rPr>
      </w:pPr>
    </w:p>
    <w:p w14:paraId="197B6311" w14:textId="77777777" w:rsidR="00F862C5" w:rsidRDefault="00F862C5" w:rsidP="001165DC">
      <w:pPr>
        <w:spacing w:after="0" w:line="240" w:lineRule="auto"/>
        <w:jc w:val="right"/>
        <w:rPr>
          <w:rFonts w:ascii="Times New Roman" w:hAnsi="Times New Roman"/>
          <w:b/>
          <w:bCs/>
          <w:sz w:val="24"/>
          <w:szCs w:val="24"/>
          <w:lang w:val="uk-UA"/>
        </w:rPr>
      </w:pPr>
      <w:bookmarkStart w:id="1" w:name="_GoBack"/>
      <w:bookmarkEnd w:id="1"/>
    </w:p>
    <w:p w14:paraId="6F351539" w14:textId="77777777" w:rsidR="00A26D0A" w:rsidRPr="00E9759F" w:rsidRDefault="00A26D0A" w:rsidP="00E9759F">
      <w:pPr>
        <w:spacing w:after="0" w:line="240" w:lineRule="auto"/>
        <w:rPr>
          <w:rFonts w:ascii="Times New Roman" w:hAnsi="Times New Roman"/>
          <w:b/>
          <w:bCs/>
          <w:sz w:val="24"/>
          <w:szCs w:val="24"/>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434D92D1" w:rsidR="001165DC" w:rsidRPr="00DF08F7" w:rsidRDefault="001165DC" w:rsidP="001165DC">
      <w:pPr>
        <w:spacing w:after="0" w:line="240" w:lineRule="auto"/>
        <w:ind w:left="-426" w:right="-284" w:firstLine="426"/>
        <w:rPr>
          <w:rFonts w:ascii="Times New Roman" w:hAnsi="Times New Roman"/>
          <w:sz w:val="16"/>
          <w:szCs w:val="16"/>
          <w:lang w:val="uk-UA"/>
        </w:rPr>
        <w:sectPr w:rsidR="001165DC" w:rsidRPr="00DF08F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DF08F7">
        <w:rPr>
          <w:rFonts w:ascii="Times New Roman" w:hAnsi="Times New Roman"/>
          <w:sz w:val="16"/>
          <w:szCs w:val="16"/>
        </w:rPr>
        <w:t xml:space="preserve">         (ініціали та пр</w:t>
      </w:r>
      <w:r w:rsidR="00DF08F7">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4A4C74B7" w14:textId="77777777" w:rsidR="001165DC" w:rsidRDefault="001165DC" w:rsidP="00DF08F7">
      <w:pPr>
        <w:spacing w:after="0" w:line="240" w:lineRule="auto"/>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977C" w14:textId="77777777" w:rsidR="00CF1F50" w:rsidRDefault="00CF1F50">
      <w:pPr>
        <w:spacing w:after="0" w:line="240" w:lineRule="auto"/>
      </w:pPr>
      <w:r>
        <w:separator/>
      </w:r>
    </w:p>
  </w:endnote>
  <w:endnote w:type="continuationSeparator" w:id="0">
    <w:p w14:paraId="59DE0A61" w14:textId="77777777" w:rsidR="00CF1F50" w:rsidRDefault="00CF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70AB9" w:rsidRDefault="00270AB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70AB9" w:rsidRDefault="00270AB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70AB9" w:rsidRDefault="00270AB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862C5">
      <w:rPr>
        <w:rStyle w:val="af5"/>
        <w:noProof/>
      </w:rPr>
      <w:t>31</w:t>
    </w:r>
    <w:r>
      <w:rPr>
        <w:rStyle w:val="af5"/>
      </w:rPr>
      <w:fldChar w:fldCharType="end"/>
    </w:r>
  </w:p>
  <w:p w14:paraId="4561FF0D" w14:textId="77777777" w:rsidR="00270AB9" w:rsidRDefault="00270AB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2B97" w14:textId="77777777" w:rsidR="00CF1F50" w:rsidRDefault="00CF1F50">
      <w:pPr>
        <w:spacing w:after="0" w:line="240" w:lineRule="auto"/>
      </w:pPr>
      <w:r>
        <w:separator/>
      </w:r>
    </w:p>
  </w:footnote>
  <w:footnote w:type="continuationSeparator" w:id="0">
    <w:p w14:paraId="43A5CD72" w14:textId="77777777" w:rsidR="00CF1F50" w:rsidRDefault="00CF1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041EB"/>
    <w:multiLevelType w:val="hybridMultilevel"/>
    <w:tmpl w:val="236AEA82"/>
    <w:lvl w:ilvl="0" w:tplc="0422000F">
      <w:start w:val="1"/>
      <w:numFmt w:val="decimal"/>
      <w:lvlText w:val="%1."/>
      <w:lvlJc w:val="left"/>
      <w:pPr>
        <w:ind w:left="1042"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31"/>
  </w:num>
  <w:num w:numId="5">
    <w:abstractNumId w:val="45"/>
  </w:num>
  <w:num w:numId="6">
    <w:abstractNumId w:val="15"/>
  </w:num>
  <w:num w:numId="7">
    <w:abstractNumId w:val="41"/>
  </w:num>
  <w:num w:numId="8">
    <w:abstractNumId w:val="17"/>
  </w:num>
  <w:num w:numId="9">
    <w:abstractNumId w:val="19"/>
  </w:num>
  <w:num w:numId="10">
    <w:abstractNumId w:val="46"/>
  </w:num>
  <w:num w:numId="11">
    <w:abstractNumId w:val="10"/>
  </w:num>
  <w:num w:numId="12">
    <w:abstractNumId w:val="35"/>
  </w:num>
  <w:num w:numId="13">
    <w:abstractNumId w:val="12"/>
  </w:num>
  <w:num w:numId="14">
    <w:abstractNumId w:val="38"/>
  </w:num>
  <w:num w:numId="15">
    <w:abstractNumId w:val="9"/>
  </w:num>
  <w:num w:numId="16">
    <w:abstractNumId w:val="14"/>
  </w:num>
  <w:num w:numId="17">
    <w:abstractNumId w:val="9"/>
    <w:lvlOverride w:ilvl="0">
      <w:startOverride w:val="1"/>
    </w:lvlOverride>
  </w:num>
  <w:num w:numId="18">
    <w:abstractNumId w:val="27"/>
  </w:num>
  <w:num w:numId="19">
    <w:abstractNumId w:val="44"/>
  </w:num>
  <w:num w:numId="20">
    <w:abstractNumId w:val="25"/>
  </w:num>
  <w:num w:numId="21">
    <w:abstractNumId w:val="11"/>
  </w:num>
  <w:num w:numId="22">
    <w:abstractNumId w:val="30"/>
  </w:num>
  <w:num w:numId="23">
    <w:abstractNumId w:val="34"/>
  </w:num>
  <w:num w:numId="24">
    <w:abstractNumId w:val="6"/>
  </w:num>
  <w:num w:numId="25">
    <w:abstractNumId w:val="8"/>
  </w:num>
  <w:num w:numId="26">
    <w:abstractNumId w:val="39"/>
  </w:num>
  <w:num w:numId="27">
    <w:abstractNumId w:val="20"/>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5"/>
  </w:num>
  <w:num w:numId="36">
    <w:abstractNumId w:val="3"/>
  </w:num>
  <w:num w:numId="37">
    <w:abstractNumId w:val="28"/>
  </w:num>
  <w:num w:numId="38">
    <w:abstractNumId w:val="42"/>
  </w:num>
  <w:num w:numId="39">
    <w:abstractNumId w:val="33"/>
  </w:num>
  <w:num w:numId="40">
    <w:abstractNumId w:val="18"/>
  </w:num>
  <w:num w:numId="41">
    <w:abstractNumId w:val="36"/>
  </w:num>
  <w:num w:numId="42">
    <w:abstractNumId w:val="37"/>
  </w:num>
  <w:num w:numId="43">
    <w:abstractNumId w:val="26"/>
  </w:num>
  <w:num w:numId="44">
    <w:abstractNumId w:val="13"/>
  </w:num>
  <w:num w:numId="45">
    <w:abstractNumId w:val="1"/>
  </w:num>
  <w:num w:numId="46">
    <w:abstractNumId w:val="43"/>
  </w:num>
  <w:num w:numId="47">
    <w:abstractNumId w:val="7"/>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C38AD"/>
    <w:rsid w:val="001D26B9"/>
    <w:rsid w:val="00203A89"/>
    <w:rsid w:val="00234975"/>
    <w:rsid w:val="00244F88"/>
    <w:rsid w:val="00246021"/>
    <w:rsid w:val="00254E3E"/>
    <w:rsid w:val="002550B0"/>
    <w:rsid w:val="00262241"/>
    <w:rsid w:val="002626D5"/>
    <w:rsid w:val="0026733D"/>
    <w:rsid w:val="00270AB9"/>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9508D"/>
    <w:rsid w:val="009A1246"/>
    <w:rsid w:val="009A1E06"/>
    <w:rsid w:val="009A6183"/>
    <w:rsid w:val="009A7F70"/>
    <w:rsid w:val="009C2108"/>
    <w:rsid w:val="009C4EEA"/>
    <w:rsid w:val="009C75F6"/>
    <w:rsid w:val="009C7FA5"/>
    <w:rsid w:val="009F6480"/>
    <w:rsid w:val="009F6B37"/>
    <w:rsid w:val="00A0007A"/>
    <w:rsid w:val="00A07139"/>
    <w:rsid w:val="00A20230"/>
    <w:rsid w:val="00A24EF9"/>
    <w:rsid w:val="00A26D0A"/>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7388E"/>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CF1F50"/>
    <w:rsid w:val="00D003D5"/>
    <w:rsid w:val="00D03E3F"/>
    <w:rsid w:val="00D0542B"/>
    <w:rsid w:val="00D15F4A"/>
    <w:rsid w:val="00D24F3A"/>
    <w:rsid w:val="00D63F7D"/>
    <w:rsid w:val="00D6537C"/>
    <w:rsid w:val="00D755AF"/>
    <w:rsid w:val="00D86E4C"/>
    <w:rsid w:val="00D97F24"/>
    <w:rsid w:val="00DB4C80"/>
    <w:rsid w:val="00DB69A4"/>
    <w:rsid w:val="00DB7248"/>
    <w:rsid w:val="00DB7BA1"/>
    <w:rsid w:val="00DC0363"/>
    <w:rsid w:val="00DC30C8"/>
    <w:rsid w:val="00DF08F7"/>
    <w:rsid w:val="00E01EE1"/>
    <w:rsid w:val="00E04EC5"/>
    <w:rsid w:val="00E1119C"/>
    <w:rsid w:val="00E16514"/>
    <w:rsid w:val="00E55C9E"/>
    <w:rsid w:val="00E65A65"/>
    <w:rsid w:val="00E743A1"/>
    <w:rsid w:val="00E94849"/>
    <w:rsid w:val="00E9759F"/>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862C5"/>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llowedHyperlink"/>
    <w:basedOn w:val="a0"/>
    <w:uiPriority w:val="99"/>
    <w:semiHidden/>
    <w:unhideWhenUsed/>
    <w:rsid w:val="00DF08F7"/>
    <w:rPr>
      <w:color w:val="800080"/>
      <w:u w:val="single"/>
    </w:rPr>
  </w:style>
  <w:style w:type="paragraph" w:customStyle="1" w:styleId="xl63">
    <w:name w:val="xl63"/>
    <w:basedOn w:val="a"/>
    <w:rsid w:val="00DF0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5">
    <w:name w:val="xl65"/>
    <w:basedOn w:val="a"/>
    <w:rsid w:val="00DF08F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DF08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DF08F7"/>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8">
    <w:name w:val="xl68"/>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9">
    <w:name w:val="xl69"/>
    <w:basedOn w:val="a"/>
    <w:rsid w:val="00DF08F7"/>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F08F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88494871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EAB-8E66-411F-9E96-B0055AC9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12798</Words>
  <Characters>72953</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4</cp:revision>
  <dcterms:created xsi:type="dcterms:W3CDTF">2024-03-18T12:29:00Z</dcterms:created>
  <dcterms:modified xsi:type="dcterms:W3CDTF">2024-04-05T09:16:00Z</dcterms:modified>
</cp:coreProperties>
</file>