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dobrobyt.poltava@gmail.com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0E01DE" w:rsidRPr="000E01DE">
        <w:rPr>
          <w:rFonts w:ascii="Times New Roman" w:hAnsi="Times New Roman" w:cs="Times New Roman"/>
          <w:i/>
          <w:sz w:val="24"/>
          <w:szCs w:val="24"/>
          <w:lang w:eastAsia="ru-RU"/>
        </w:rPr>
        <w:t>15540000-5 - Сирні продукти</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8F0C88" w:rsidRPr="00ED706B" w:rsidRDefault="008F0C88" w:rsidP="008F0C88">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 xml:space="preserve">. </w:t>
      </w:r>
      <w:r>
        <w:rPr>
          <w:rFonts w:ascii="Times New Roman" w:hAnsi="Times New Roman" w:cs="Times New Roman"/>
          <w:b/>
          <w:sz w:val="24"/>
          <w:szCs w:val="24"/>
        </w:rPr>
        <w:t>Д</w:t>
      </w:r>
      <w:r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bookmarkStart w:id="0" w:name="_GoBack"/>
      <w:bookmarkEnd w:id="0"/>
    </w:p>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r w:rsidR="00E24D5C" w:rsidRPr="00DC7D48">
        <w:rPr>
          <w:rFonts w:ascii="Times New Roman" w:eastAsia="Times New Roman" w:hAnsi="Times New Roman" w:cs="Times New Roman"/>
          <w:sz w:val="24"/>
          <w:szCs w:val="24"/>
          <w:lang w:eastAsia="ru-RU"/>
        </w:rPr>
        <w:t xml:space="preserve">оплати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0E01DE">
        <w:rPr>
          <w:rFonts w:ascii="Times New Roman" w:eastAsia="SimSun" w:hAnsi="Times New Roman" w:cs="Times New Roman"/>
          <w:b/>
          <w:i/>
          <w:color w:val="00000A"/>
          <w:sz w:val="24"/>
          <w:szCs w:val="24"/>
        </w:rPr>
        <w:t>84</w:t>
      </w:r>
      <w:r w:rsidR="00894F16">
        <w:rPr>
          <w:rFonts w:ascii="Times New Roman" w:eastAsia="SimSun" w:hAnsi="Times New Roman" w:cs="Times New Roman"/>
          <w:b/>
          <w:i/>
          <w:color w:val="00000A"/>
          <w:sz w:val="24"/>
          <w:szCs w:val="24"/>
        </w:rPr>
        <w:t> 000,00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0E01DE">
        <w:rPr>
          <w:rFonts w:ascii="Times New Roman" w:eastAsia="SimSun" w:hAnsi="Times New Roman" w:cs="Calibri"/>
          <w:b/>
          <w:i/>
          <w:color w:val="00000A"/>
          <w:sz w:val="24"/>
          <w:szCs w:val="24"/>
        </w:rPr>
        <w:t>420</w:t>
      </w:r>
      <w:r w:rsidR="00687C0A">
        <w:rPr>
          <w:rFonts w:ascii="Times New Roman" w:eastAsia="SimSun" w:hAnsi="Times New Roman" w:cs="Calibri"/>
          <w:b/>
          <w:i/>
          <w:color w:val="00000A"/>
          <w:sz w:val="24"/>
          <w:szCs w:val="24"/>
        </w:rPr>
        <w:t>,00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r w:rsidR="006F2960" w:rsidRPr="001662B3">
        <w:rPr>
          <w:rFonts w:ascii="Times New Roman" w:eastAsia="Calibri" w:hAnsi="Times New Roman" w:cs="Times New Roman"/>
          <w:i/>
          <w:sz w:val="24"/>
          <w:szCs w:val="24"/>
          <w:lang w:eastAsia="ru-RU"/>
        </w:rPr>
        <w:t>пропозиція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894F16" w:rsidRPr="001C2993" w:rsidTr="00894F16">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894F16" w:rsidRPr="00983799" w:rsidRDefault="000E01DE" w:rsidP="000E01DE">
            <w:pPr>
              <w:spacing w:after="0" w:line="240" w:lineRule="auto"/>
              <w:rPr>
                <w:rFonts w:ascii="Times New Roman" w:eastAsia="Times New Roman" w:hAnsi="Times New Roman" w:cs="Times New Roman"/>
                <w:color w:val="000000"/>
                <w:sz w:val="28"/>
                <w:szCs w:val="28"/>
                <w:lang w:eastAsia="ru-RU"/>
              </w:rPr>
            </w:pPr>
            <w:r w:rsidRPr="000E01DE">
              <w:rPr>
                <w:rFonts w:ascii="Times New Roman" w:eastAsia="Times New Roman" w:hAnsi="Times New Roman" w:cs="Times New Roman"/>
                <w:color w:val="000000"/>
                <w:sz w:val="28"/>
                <w:szCs w:val="28"/>
                <w:lang w:eastAsia="ru-RU"/>
              </w:rPr>
              <w:t xml:space="preserve">Сир </w:t>
            </w:r>
            <w:proofErr w:type="spellStart"/>
            <w:r w:rsidRPr="000E01DE">
              <w:rPr>
                <w:rFonts w:ascii="Times New Roman" w:eastAsia="Times New Roman" w:hAnsi="Times New Roman" w:cs="Times New Roman"/>
                <w:color w:val="000000"/>
                <w:sz w:val="28"/>
                <w:szCs w:val="28"/>
                <w:lang w:eastAsia="ru-RU"/>
              </w:rPr>
              <w:t>кисломочний</w:t>
            </w:r>
            <w:proofErr w:type="spellEnd"/>
            <w:r w:rsidRPr="000E01DE">
              <w:rPr>
                <w:rFonts w:ascii="Times New Roman" w:eastAsia="Times New Roman" w:hAnsi="Times New Roman" w:cs="Times New Roman"/>
                <w:color w:val="000000"/>
                <w:sz w:val="28"/>
                <w:szCs w:val="28"/>
                <w:lang w:eastAsia="ru-RU"/>
              </w:rPr>
              <w:t xml:space="preserve"> не нижче 9%</w:t>
            </w:r>
          </w:p>
        </w:tc>
        <w:tc>
          <w:tcPr>
            <w:tcW w:w="2500" w:type="dxa"/>
            <w:tcBorders>
              <w:top w:val="single" w:sz="4" w:space="0" w:color="auto"/>
              <w:left w:val="single" w:sz="4" w:space="0" w:color="auto"/>
              <w:bottom w:val="single" w:sz="4" w:space="0" w:color="auto"/>
              <w:right w:val="single" w:sz="4" w:space="0" w:color="auto"/>
            </w:tcBorders>
            <w:vAlign w:val="bottom"/>
          </w:tcPr>
          <w:p w:rsidR="00894F16" w:rsidRPr="00983799" w:rsidRDefault="00B0334B" w:rsidP="000E01D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707</w:t>
            </w:r>
            <w:r w:rsidR="00983799">
              <w:rPr>
                <w:rFonts w:ascii="Times New Roman" w:eastAsia="Times New Roman" w:hAnsi="Times New Roman" w:cs="Times New Roman"/>
                <w:color w:val="000000"/>
                <w:sz w:val="28"/>
                <w:szCs w:val="28"/>
                <w:lang w:eastAsia="ru-RU"/>
              </w:rPr>
              <w:t xml:space="preserve"> кг</w:t>
            </w:r>
          </w:p>
        </w:tc>
        <w:tc>
          <w:tcPr>
            <w:tcW w:w="2500" w:type="dxa"/>
            <w:tcBorders>
              <w:top w:val="single" w:sz="4" w:space="0" w:color="auto"/>
              <w:left w:val="single" w:sz="4" w:space="0" w:color="auto"/>
              <w:right w:val="single" w:sz="4" w:space="0" w:color="auto"/>
            </w:tcBorders>
          </w:tcPr>
          <w:p w:rsidR="00894F16" w:rsidRPr="001C2993" w:rsidRDefault="00894F16" w:rsidP="001C2993">
            <w:pPr>
              <w:spacing w:after="0" w:line="240" w:lineRule="auto"/>
              <w:rPr>
                <w:rFonts w:ascii="Times New Roman" w:eastAsia="Times New Roman" w:hAnsi="Times New Roman" w:cs="Times New Roman"/>
                <w:color w:val="000000"/>
                <w:sz w:val="24"/>
                <w:szCs w:val="24"/>
                <w:lang w:val="ru-RU" w:eastAsia="ru-RU"/>
              </w:rPr>
            </w:pPr>
          </w:p>
          <w:p w:rsidR="00894F16" w:rsidRPr="001C2993" w:rsidRDefault="00894F16"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год 00 хв до 15 год 00 хв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 xml:space="preserve">)_____) (далі – </w:t>
      </w:r>
      <w:r w:rsidR="00C16285">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и),</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1123B3"/>
    <w:rsid w:val="00122617"/>
    <w:rsid w:val="00146C44"/>
    <w:rsid w:val="001662B3"/>
    <w:rsid w:val="00196D24"/>
    <w:rsid w:val="001B35BA"/>
    <w:rsid w:val="001C2993"/>
    <w:rsid w:val="001C71DB"/>
    <w:rsid w:val="001E5F3C"/>
    <w:rsid w:val="00213F2B"/>
    <w:rsid w:val="00215B52"/>
    <w:rsid w:val="00240EFE"/>
    <w:rsid w:val="00242B3F"/>
    <w:rsid w:val="00257E5B"/>
    <w:rsid w:val="002650B5"/>
    <w:rsid w:val="002735B2"/>
    <w:rsid w:val="002A47B6"/>
    <w:rsid w:val="002F0C53"/>
    <w:rsid w:val="00301EED"/>
    <w:rsid w:val="003304E2"/>
    <w:rsid w:val="00374A93"/>
    <w:rsid w:val="003C5A6A"/>
    <w:rsid w:val="003E2A0F"/>
    <w:rsid w:val="00402590"/>
    <w:rsid w:val="004264B0"/>
    <w:rsid w:val="00462AA6"/>
    <w:rsid w:val="00475DDC"/>
    <w:rsid w:val="00476CE6"/>
    <w:rsid w:val="00477C39"/>
    <w:rsid w:val="004F518C"/>
    <w:rsid w:val="00506BAD"/>
    <w:rsid w:val="00540BA2"/>
    <w:rsid w:val="0058418B"/>
    <w:rsid w:val="00595665"/>
    <w:rsid w:val="005A294F"/>
    <w:rsid w:val="00687C0A"/>
    <w:rsid w:val="006E1911"/>
    <w:rsid w:val="006E5CDD"/>
    <w:rsid w:val="006F22A6"/>
    <w:rsid w:val="006F2960"/>
    <w:rsid w:val="0073038F"/>
    <w:rsid w:val="00765D2E"/>
    <w:rsid w:val="007B3073"/>
    <w:rsid w:val="007F77F2"/>
    <w:rsid w:val="008102CB"/>
    <w:rsid w:val="0082411C"/>
    <w:rsid w:val="00844300"/>
    <w:rsid w:val="00851317"/>
    <w:rsid w:val="008621B4"/>
    <w:rsid w:val="00894F16"/>
    <w:rsid w:val="008A173D"/>
    <w:rsid w:val="008F0C88"/>
    <w:rsid w:val="00916782"/>
    <w:rsid w:val="00920D25"/>
    <w:rsid w:val="00982A53"/>
    <w:rsid w:val="00983799"/>
    <w:rsid w:val="00997C98"/>
    <w:rsid w:val="009A17EC"/>
    <w:rsid w:val="009A2E23"/>
    <w:rsid w:val="009A36A1"/>
    <w:rsid w:val="009A649A"/>
    <w:rsid w:val="009C502F"/>
    <w:rsid w:val="009E5FBE"/>
    <w:rsid w:val="009F2CF8"/>
    <w:rsid w:val="00A026CD"/>
    <w:rsid w:val="00A04861"/>
    <w:rsid w:val="00A3776F"/>
    <w:rsid w:val="00A54192"/>
    <w:rsid w:val="00A60D90"/>
    <w:rsid w:val="00A654A9"/>
    <w:rsid w:val="00A70547"/>
    <w:rsid w:val="00A72774"/>
    <w:rsid w:val="00A97E6F"/>
    <w:rsid w:val="00AA7F58"/>
    <w:rsid w:val="00AB011E"/>
    <w:rsid w:val="00AB0EFB"/>
    <w:rsid w:val="00AD67EF"/>
    <w:rsid w:val="00AE479C"/>
    <w:rsid w:val="00AF46EC"/>
    <w:rsid w:val="00B0334B"/>
    <w:rsid w:val="00B81BB9"/>
    <w:rsid w:val="00B96466"/>
    <w:rsid w:val="00BF33AF"/>
    <w:rsid w:val="00C13742"/>
    <w:rsid w:val="00C15F04"/>
    <w:rsid w:val="00C16285"/>
    <w:rsid w:val="00C168FD"/>
    <w:rsid w:val="00C31510"/>
    <w:rsid w:val="00C354E2"/>
    <w:rsid w:val="00C36C97"/>
    <w:rsid w:val="00C54E42"/>
    <w:rsid w:val="00CA57A4"/>
    <w:rsid w:val="00CB6862"/>
    <w:rsid w:val="00CC09D0"/>
    <w:rsid w:val="00D0253F"/>
    <w:rsid w:val="00D1190E"/>
    <w:rsid w:val="00D22BB7"/>
    <w:rsid w:val="00D618CD"/>
    <w:rsid w:val="00D833D4"/>
    <w:rsid w:val="00DC7D48"/>
    <w:rsid w:val="00DE6BB9"/>
    <w:rsid w:val="00DE7C65"/>
    <w:rsid w:val="00E24D5C"/>
    <w:rsid w:val="00E34762"/>
    <w:rsid w:val="00E40DF4"/>
    <w:rsid w:val="00E43015"/>
    <w:rsid w:val="00E455A4"/>
    <w:rsid w:val="00E75979"/>
    <w:rsid w:val="00E80358"/>
    <w:rsid w:val="00E80DA1"/>
    <w:rsid w:val="00EC7D90"/>
    <w:rsid w:val="00ED66BD"/>
    <w:rsid w:val="00ED7F68"/>
    <w:rsid w:val="00EE6B52"/>
    <w:rsid w:val="00F037BB"/>
    <w:rsid w:val="00F06D10"/>
    <w:rsid w:val="00F1454F"/>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4</cp:revision>
  <cp:lastPrinted>2021-11-24T14:06:00Z</cp:lastPrinted>
  <dcterms:created xsi:type="dcterms:W3CDTF">2022-09-23T09:37:00Z</dcterms:created>
  <dcterms:modified xsi:type="dcterms:W3CDTF">2022-09-23T12:13:00Z</dcterms:modified>
</cp:coreProperties>
</file>