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FB1B7C" w:rsidP="009D0FF0">
      <w:pPr>
        <w:pStyle w:val="10"/>
        <w:jc w:val="center"/>
        <w:rPr>
          <w:b/>
          <w:i/>
          <w:lang w:val="uk-UA"/>
        </w:rPr>
      </w:pPr>
      <w:r w:rsidRPr="00FB1B7C">
        <w:rPr>
          <w:b/>
          <w:i/>
          <w:lang w:val="uk-UA"/>
        </w:rPr>
        <w:t xml:space="preserve">                                                                                                                         </w:t>
      </w:r>
      <w:r>
        <w:rPr>
          <w:b/>
          <w:i/>
          <w:lang w:val="uk-UA"/>
        </w:rPr>
        <w:t xml:space="preserve">   </w:t>
      </w:r>
      <w:r w:rsidRPr="00FB1B7C">
        <w:rPr>
          <w:b/>
          <w:i/>
          <w:lang w:val="uk-UA"/>
        </w:rPr>
        <w:t>Додаток 4</w:t>
      </w:r>
      <w:r w:rsidRPr="00FB1B7C">
        <w:rPr>
          <w:b/>
          <w:i/>
          <w:lang w:val="uk-UA"/>
        </w:rPr>
        <w:br/>
        <w:t xml:space="preserve">                                                                                                         до тендерної документації</w:t>
      </w:r>
      <w:r w:rsidRPr="00FB1B7C">
        <w:rPr>
          <w:b/>
          <w:i/>
          <w:lang w:val="uk-UA"/>
        </w:rPr>
        <w:br/>
      </w:r>
      <w:r w:rsidR="009D0FF0"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уклали договір </w:t>
      </w:r>
      <w:r>
        <w:rPr>
          <w:lang w:val="uk-UA"/>
        </w:rPr>
        <w:t xml:space="preserve">про закупівлю </w:t>
      </w:r>
      <w:r w:rsidRPr="009D0FF0">
        <w:rPr>
          <w:lang w:val="uk-UA"/>
        </w:rPr>
        <w:t>(далі – Договір) про наступне:</w:t>
      </w:r>
    </w:p>
    <w:p w:rsidR="009D0FF0" w:rsidRPr="005235C7"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5235C7">
        <w:rPr>
          <w:b/>
          <w:lang w:val="uk-UA"/>
        </w:rPr>
        <w:t>. ПРЕДМЕТ ДОГОВОРУ</w:t>
      </w:r>
      <w:r w:rsidR="007F0496">
        <w:rPr>
          <w:b/>
          <w:lang w:val="uk-UA"/>
        </w:rPr>
        <w:br/>
      </w:r>
    </w:p>
    <w:p w:rsidR="00706202" w:rsidRPr="001C5BFC" w:rsidRDefault="00A315A3" w:rsidP="001C5BFC">
      <w:pPr>
        <w:jc w:val="both"/>
        <w:rPr>
          <w:b/>
          <w:lang w:val="uk-UA" w:eastAsia="zh-CN"/>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поставку і передати у власність Покупцеві:</w:t>
      </w:r>
      <w:r w:rsidR="005235C7">
        <w:rPr>
          <w:lang w:val="uk-UA"/>
        </w:rPr>
        <w:t xml:space="preserve"> </w:t>
      </w:r>
      <w:r w:rsidR="003B450F" w:rsidRPr="003B450F">
        <w:rPr>
          <w:b/>
          <w:lang w:val="uk-UA" w:eastAsia="zh-CN"/>
        </w:rPr>
        <w:t>Оксиди, пероксиди та гідроксиди</w:t>
      </w:r>
      <w:r w:rsidR="003B450F" w:rsidRPr="003B450F">
        <w:rPr>
          <w:lang w:val="uk-UA" w:eastAsia="zh-CN"/>
        </w:rPr>
        <w:t>,</w:t>
      </w:r>
      <w:r w:rsidR="003B450F" w:rsidRPr="003B450F">
        <w:rPr>
          <w:lang w:val="uk-UA"/>
        </w:rPr>
        <w:t xml:space="preserve"> </w:t>
      </w:r>
      <w:r w:rsidR="003B450F" w:rsidRPr="003B450F">
        <w:rPr>
          <w:lang w:val="uk-UA"/>
        </w:rPr>
        <w:br/>
        <w:t>Код ДК 021:2015:</w:t>
      </w:r>
      <w:bookmarkStart w:id="0" w:name="_GoBack"/>
      <w:bookmarkEnd w:id="0"/>
      <w:r w:rsidR="003B450F" w:rsidRPr="003B450F">
        <w:rPr>
          <w:lang w:val="uk-UA"/>
        </w:rPr>
        <w:t>24210000-9 «Оксиди, пероксиди та гідроксиди»</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Default="00706202" w:rsidP="00281BF8">
      <w:pPr>
        <w:ind w:firstLine="284"/>
        <w:jc w:val="both"/>
        <w:rPr>
          <w:lang w:val="uk-UA"/>
        </w:rPr>
      </w:pPr>
    </w:p>
    <w:p w:rsidR="005235C7" w:rsidRPr="005235C7" w:rsidRDefault="005235C7" w:rsidP="00281BF8">
      <w:pPr>
        <w:ind w:firstLine="284"/>
        <w:jc w:val="both"/>
        <w:rPr>
          <w:lang w:val="uk-UA"/>
        </w:rPr>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Pr="00475D8E">
        <w:rPr>
          <w:lang w:val="uk-UA"/>
        </w:rPr>
        <w:t>склад медикаментів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w:t>
      </w:r>
      <w:r w:rsidR="00BC2930" w:rsidRPr="00BC2930">
        <w:rPr>
          <w:lang w:val="uk-UA"/>
        </w:rPr>
        <w:t>номер та дата Договору про закупівлю</w:t>
      </w:r>
      <w:r w:rsidR="00BC2930">
        <w:rPr>
          <w:lang w:val="uk-UA"/>
        </w:rPr>
        <w:t>,</w:t>
      </w:r>
      <w:r w:rsidR="00F6755D" w:rsidRPr="00F6755D">
        <w:rPr>
          <w:lang w:val="uk-UA"/>
        </w:rPr>
        <w:t xml:space="preserve"> відомості про особу</w:t>
      </w:r>
      <w:r w:rsidR="00BC2930" w:rsidRPr="00BC2930">
        <w:rPr>
          <w:lang w:val="uk-UA"/>
        </w:rPr>
        <w:t xml:space="preserve"> </w:t>
      </w:r>
      <w:r w:rsidRPr="000D1B7A">
        <w:rPr>
          <w:lang w:val="uk-UA"/>
        </w:rPr>
        <w:t>відповідальну за складання рахунку-фактури</w:t>
      </w:r>
      <w:r w:rsidR="00FD4848">
        <w:rPr>
          <w:lang w:val="uk-UA"/>
        </w:rPr>
        <w:t xml:space="preserve">, </w:t>
      </w:r>
      <w:r w:rsidR="00FD4848" w:rsidRPr="00FD4848">
        <w:rPr>
          <w:lang w:val="uk-UA"/>
        </w:rPr>
        <w:t xml:space="preserve">її підпис та печатка </w:t>
      </w:r>
      <w:r w:rsidR="00310637">
        <w:rPr>
          <w:lang w:val="uk-UA"/>
        </w:rPr>
        <w:t>Постачальника</w:t>
      </w:r>
      <w:r w:rsidR="00FD4848" w:rsidRPr="00FD4848">
        <w:rPr>
          <w:lang w:val="uk-UA"/>
        </w:rPr>
        <w:t xml:space="preserve"> (у разі наявності)</w:t>
      </w:r>
      <w:r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r w:rsidR="00310637">
        <w:rPr>
          <w:lang w:val="uk-UA"/>
        </w:rPr>
        <w:t xml:space="preserve"> та завірений печаткою Постачальника (у разі її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ind w:firstLine="284"/>
        <w:jc w:val="both"/>
        <w:rPr>
          <w:lang w:val="uk-UA"/>
        </w:rPr>
      </w:pPr>
      <w:r>
        <w:rPr>
          <w:lang w:val="uk-UA"/>
        </w:rPr>
        <w:t xml:space="preserve">- </w:t>
      </w:r>
      <w:r w:rsidRPr="000D1B7A">
        <w:rPr>
          <w:lang w:val="uk-UA"/>
        </w:rPr>
        <w:t>сертифікат походження від виробника, який охоплює всі одиниці продукції, що постачається (за наявності);</w:t>
      </w:r>
    </w:p>
    <w:p w:rsidR="000D1B7A" w:rsidRPr="000D1B7A" w:rsidRDefault="000D1B7A" w:rsidP="000D1B7A">
      <w:pPr>
        <w:ind w:firstLine="284"/>
        <w:jc w:val="both"/>
        <w:rPr>
          <w:lang w:val="uk-UA"/>
        </w:rPr>
      </w:pPr>
      <w:r>
        <w:rPr>
          <w:lang w:val="uk-UA"/>
        </w:rPr>
        <w:t xml:space="preserve"> - </w:t>
      </w:r>
      <w:r w:rsidRPr="000D1B7A">
        <w:rPr>
          <w:lang w:val="uk-UA"/>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w:t>
      </w:r>
      <w:r w:rsidR="00FD4848">
        <w:rPr>
          <w:lang w:val="uk-UA"/>
        </w:rPr>
        <w:t xml:space="preserve"> складання видаткової накладної, </w:t>
      </w:r>
      <w:r w:rsidR="00FD4848">
        <w:rPr>
          <w:color w:val="000000" w:themeColor="text1"/>
          <w:lang w:val="uk-UA"/>
        </w:rPr>
        <w:t xml:space="preserve">її підпис та печатка </w:t>
      </w:r>
      <w:r w:rsidR="00310637">
        <w:rPr>
          <w:color w:val="000000" w:themeColor="text1"/>
          <w:lang w:val="uk-UA"/>
        </w:rPr>
        <w:t>Постачальника</w:t>
      </w:r>
      <w:r w:rsidR="00FD4848">
        <w:rPr>
          <w:color w:val="000000" w:themeColor="text1"/>
          <w:lang w:val="uk-UA"/>
        </w:rPr>
        <w:t xml:space="preserve"> (у разі наявності).</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lastRenderedPageBreak/>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 xml:space="preserve">Покупцем </w:t>
      </w:r>
      <w:r w:rsidR="00536861">
        <w:rPr>
          <w:color w:val="000000"/>
          <w:lang w:val="uk-UA"/>
        </w:rPr>
        <w:lastRenderedPageBreak/>
        <w:t>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lastRenderedPageBreak/>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5235C7" w:rsidRPr="0057164B" w:rsidRDefault="005235C7" w:rsidP="0057164B">
      <w:pPr>
        <w:shd w:val="clear" w:color="auto" w:fill="FFFFFF"/>
        <w:spacing w:line="240" w:lineRule="atLeast"/>
        <w:ind w:left="-180" w:firstLine="360"/>
        <w:jc w:val="both"/>
        <w:rPr>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Pr="009A3E8A"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7358DD" w:rsidRPr="007358DD" w:rsidRDefault="007358DD"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473C02" w:rsidRPr="00473C02" w:rsidRDefault="00E258BD" w:rsidP="00473C02">
      <w:pPr>
        <w:ind w:firstLine="284"/>
        <w:jc w:val="both"/>
        <w:rPr>
          <w:lang w:val="uk-UA"/>
        </w:rPr>
      </w:pPr>
      <w:r>
        <w:rPr>
          <w:lang w:val="uk-UA"/>
        </w:rPr>
        <w:lastRenderedPageBreak/>
        <w:t>13</w:t>
      </w:r>
      <w:r w:rsidR="00810EDA">
        <w:rPr>
          <w:lang w:val="uk-UA"/>
        </w:rPr>
        <w:t xml:space="preserve">.9. </w:t>
      </w:r>
      <w:r w:rsidR="00473C02" w:rsidRPr="00820ACB">
        <w:rPr>
          <w:lang w:val="uk-UA"/>
        </w:rPr>
        <w:t xml:space="preserve">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00473C02" w:rsidRPr="00820ACB">
        <w:rPr>
          <w:lang w:val="uk-UA"/>
        </w:rPr>
        <w:t>бенефіціарним</w:t>
      </w:r>
      <w:proofErr w:type="spellEnd"/>
      <w:r w:rsidR="00473C02" w:rsidRPr="00820ACB">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здійснюють продаж товарів, робіт і послуг походженням з Російської Федерації/Республіки Білорусь/Ісламської Республіки Іран</w:t>
      </w:r>
      <w:r w:rsidR="00473C02" w:rsidRPr="00473C02">
        <w:rPr>
          <w:lang w:val="uk-UA"/>
        </w:rPr>
        <w:t>.</w:t>
      </w:r>
    </w:p>
    <w:p w:rsidR="00473C02" w:rsidRPr="00473C02" w:rsidRDefault="00473C02" w:rsidP="00473C02">
      <w:pPr>
        <w:ind w:firstLine="284"/>
        <w:jc w:val="both"/>
        <w:rPr>
          <w:lang w:val="uk-UA"/>
        </w:rPr>
      </w:pPr>
    </w:p>
    <w:p w:rsidR="004B21EE" w:rsidRPr="00810EDA" w:rsidRDefault="004B21EE" w:rsidP="00473C02">
      <w:pPr>
        <w:ind w:firstLine="284"/>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8C0E1D" w:rsidRPr="008C0E1D" w:rsidRDefault="008C0E1D" w:rsidP="008C0E1D">
            <w:pPr>
              <w:spacing w:line="276" w:lineRule="auto"/>
              <w:ind w:left="-57" w:right="-57"/>
              <w:jc w:val="both"/>
              <w:rPr>
                <w:lang w:eastAsia="en-US"/>
              </w:rPr>
            </w:pPr>
            <w:r w:rsidRPr="008C0E1D">
              <w:rPr>
                <w:b/>
                <w:lang w:eastAsia="en-US"/>
              </w:rPr>
              <w:t xml:space="preserve">      </w:t>
            </w:r>
            <w:r w:rsidRPr="008C0E1D">
              <w:rPr>
                <w:b/>
                <w:lang w:val="uk-UA" w:eastAsia="en-US"/>
              </w:rPr>
              <w:t xml:space="preserve"> </w:t>
            </w:r>
            <w:r w:rsidRPr="008C0E1D">
              <w:rPr>
                <w:b/>
                <w:lang w:eastAsia="en-US"/>
              </w:rPr>
              <w:t>UA593052990000026003011703642</w:t>
            </w:r>
            <w:r w:rsidR="009318AB">
              <w:rPr>
                <w:b/>
                <w:lang w:val="uk-UA" w:eastAsia="en-US"/>
              </w:rPr>
              <w:br/>
            </w: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7358DD" w:rsidRDefault="007358DD" w:rsidP="005235C7">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B50531" w:rsidRDefault="00B50531" w:rsidP="00706202">
      <w:pPr>
        <w:jc w:val="right"/>
        <w:rPr>
          <w:b/>
          <w:lang w:val="en-US"/>
        </w:rPr>
      </w:pPr>
    </w:p>
    <w:p w:rsidR="001C5BFC" w:rsidRDefault="001C5BFC" w:rsidP="00706202">
      <w:pPr>
        <w:jc w:val="right"/>
        <w:rPr>
          <w:b/>
          <w:lang w:val="en-US"/>
        </w:rPr>
      </w:pPr>
    </w:p>
    <w:p w:rsidR="001C5BFC" w:rsidRPr="001C5BFC" w:rsidRDefault="001C5BFC" w:rsidP="00706202">
      <w:pPr>
        <w:jc w:val="right"/>
        <w:rPr>
          <w:b/>
          <w:lang w:val="en-US"/>
        </w:rPr>
      </w:pPr>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lastRenderedPageBreak/>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4F6D"/>
    <w:rsid w:val="000A6182"/>
    <w:rsid w:val="000B1FB5"/>
    <w:rsid w:val="000B7F73"/>
    <w:rsid w:val="000C3B00"/>
    <w:rsid w:val="000C55F1"/>
    <w:rsid w:val="000C5ECC"/>
    <w:rsid w:val="000D1B7A"/>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5BFC"/>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0637"/>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450F"/>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FFF"/>
    <w:rsid w:val="00472196"/>
    <w:rsid w:val="004735E8"/>
    <w:rsid w:val="00473C02"/>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5C7"/>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5F52"/>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132D"/>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154E"/>
    <w:rsid w:val="0075260C"/>
    <w:rsid w:val="007676AF"/>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0ACB"/>
    <w:rsid w:val="00827FD1"/>
    <w:rsid w:val="00836E6E"/>
    <w:rsid w:val="00843284"/>
    <w:rsid w:val="008528B7"/>
    <w:rsid w:val="00853CF4"/>
    <w:rsid w:val="00853FEC"/>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18AB"/>
    <w:rsid w:val="00932FD0"/>
    <w:rsid w:val="0093311E"/>
    <w:rsid w:val="00933208"/>
    <w:rsid w:val="00933359"/>
    <w:rsid w:val="00933876"/>
    <w:rsid w:val="00934D02"/>
    <w:rsid w:val="00934DCF"/>
    <w:rsid w:val="00942C24"/>
    <w:rsid w:val="009443FD"/>
    <w:rsid w:val="00945759"/>
    <w:rsid w:val="00950FD6"/>
    <w:rsid w:val="009516A4"/>
    <w:rsid w:val="009542A9"/>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0531"/>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B216C"/>
    <w:rsid w:val="00DC1EF8"/>
    <w:rsid w:val="00DC3102"/>
    <w:rsid w:val="00DC3763"/>
    <w:rsid w:val="00DC3A43"/>
    <w:rsid w:val="00DD0FF5"/>
    <w:rsid w:val="00DD54AE"/>
    <w:rsid w:val="00DD719E"/>
    <w:rsid w:val="00DF3356"/>
    <w:rsid w:val="00E024E8"/>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8092D"/>
    <w:rsid w:val="00E902E5"/>
    <w:rsid w:val="00E93552"/>
    <w:rsid w:val="00E97463"/>
    <w:rsid w:val="00EA20A4"/>
    <w:rsid w:val="00EB0570"/>
    <w:rsid w:val="00EB1088"/>
    <w:rsid w:val="00EB1FD9"/>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6755D"/>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4848"/>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013">
      <w:bodyDiv w:val="1"/>
      <w:marLeft w:val="0"/>
      <w:marRight w:val="0"/>
      <w:marTop w:val="0"/>
      <w:marBottom w:val="0"/>
      <w:divBdr>
        <w:top w:val="none" w:sz="0" w:space="0" w:color="auto"/>
        <w:left w:val="none" w:sz="0" w:space="0" w:color="auto"/>
        <w:bottom w:val="none" w:sz="0" w:space="0" w:color="auto"/>
        <w:right w:val="none" w:sz="0" w:space="0" w:color="auto"/>
      </w:divBdr>
    </w:div>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5B785-D721-469B-8BDE-A65A9BD5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4460</Words>
  <Characters>25424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50</cp:revision>
  <cp:lastPrinted>2018-10-11T12:53:00Z</cp:lastPrinted>
  <dcterms:created xsi:type="dcterms:W3CDTF">2023-12-05T09:47:00Z</dcterms:created>
  <dcterms:modified xsi:type="dcterms:W3CDTF">2024-03-22T07:18:00Z</dcterms:modified>
</cp:coreProperties>
</file>