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3" w:rsidRPr="00A258D1" w:rsidRDefault="006674E3" w:rsidP="006674E3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hi-IN" w:bidi="hi-IN"/>
        </w:rPr>
      </w:pPr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ДОДАТОК </w:t>
      </w:r>
      <w:r w:rsidRPr="00A258D1">
        <w:rPr>
          <w:rFonts w:ascii="Times New Roman" w:eastAsia="SimSun" w:hAnsi="Times New Roman" w:cs="Times New Roman"/>
          <w:b/>
          <w:sz w:val="24"/>
          <w:szCs w:val="24"/>
          <w:lang w:val="uk-UA" w:eastAsia="hi-IN" w:bidi="hi-IN"/>
        </w:rPr>
        <w:t>2</w:t>
      </w:r>
    </w:p>
    <w:p w:rsidR="006674E3" w:rsidRPr="00A258D1" w:rsidRDefault="006674E3" w:rsidP="006674E3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до </w:t>
      </w:r>
      <w:proofErr w:type="spellStart"/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тендерної</w:t>
      </w:r>
      <w:proofErr w:type="spellEnd"/>
      <w:r w:rsidR="000F1FFA">
        <w:rPr>
          <w:rFonts w:ascii="Times New Roman" w:eastAsia="SimSun" w:hAnsi="Times New Roman" w:cs="Times New Roman"/>
          <w:b/>
          <w:sz w:val="24"/>
          <w:szCs w:val="24"/>
          <w:lang w:val="en-US" w:eastAsia="hi-IN" w:bidi="hi-IN"/>
        </w:rPr>
        <w:t xml:space="preserve"> </w:t>
      </w:r>
      <w:proofErr w:type="spellStart"/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документації</w:t>
      </w:r>
      <w:proofErr w:type="spellEnd"/>
    </w:p>
    <w:p w:rsidR="006674E3" w:rsidRPr="00A258D1" w:rsidRDefault="006674E3" w:rsidP="006674E3">
      <w:pPr>
        <w:spacing w:after="0" w:line="240" w:lineRule="auto"/>
        <w:ind w:left="5387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74E3" w:rsidRPr="00A258D1" w:rsidRDefault="006674E3" w:rsidP="006674E3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8D1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A258D1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6674E3" w:rsidRPr="00A258D1" w:rsidRDefault="006674E3" w:rsidP="0066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demazqoh0fh3" w:colFirst="0" w:colLast="0"/>
      <w:bookmarkEnd w:id="0"/>
      <w:proofErr w:type="spellStart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технічні</w:t>
      </w:r>
      <w:proofErr w:type="spellEnd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якісні</w:t>
      </w:r>
      <w:proofErr w:type="spellEnd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кількісні</w:t>
      </w:r>
      <w:proofErr w:type="spellEnd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закупі</w:t>
      </w:r>
      <w:proofErr w:type="gramStart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proofErr w:type="gramEnd"/>
      <w:r w:rsidRPr="00A25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</w:p>
    <w:p w:rsidR="006674E3" w:rsidRPr="00E039C8" w:rsidRDefault="006674E3" w:rsidP="006674E3">
      <w:pPr>
        <w:tabs>
          <w:tab w:val="left" w:pos="808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6674E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Навчальний комплекс </w:t>
      </w:r>
      <w:proofErr w:type="spellStart"/>
      <w:r w:rsidRPr="006674E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“Зозулька”</w:t>
      </w:r>
      <w:proofErr w:type="spellEnd"/>
      <w:r w:rsidR="00E039C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E039C8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 комплект</w:t>
      </w:r>
      <w:r w:rsidR="00E039C8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і</w:t>
      </w:r>
      <w:r w:rsidRPr="002F0A0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або</w:t>
      </w:r>
      <w:r w:rsidR="000F1FFA" w:rsidRPr="002F0A0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2F0A0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еквівалент</w:t>
      </w:r>
      <w:r w:rsidR="000F1FFA" w:rsidRPr="000F1FF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Єдиним</w:t>
      </w:r>
      <w:proofErr w:type="spellEnd"/>
      <w:r w:rsidR="000F1FFA" w:rsidRPr="000F1FF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закупівельним</w:t>
      </w:r>
      <w:proofErr w:type="spellEnd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словником</w:t>
      </w:r>
      <w:r w:rsidR="000F1FFA" w:rsidRPr="000F1FF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021:2015:35730000-0</w:t>
      </w:r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Електронні</w:t>
      </w:r>
      <w:proofErr w:type="spellEnd"/>
      <w:r w:rsidR="000F1FFA" w:rsidRPr="000F1FF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бойові</w:t>
      </w:r>
      <w:proofErr w:type="spellEnd"/>
      <w:r w:rsidR="000F1FFA" w:rsidRPr="000F1FF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комплекси</w:t>
      </w:r>
      <w:proofErr w:type="spellEnd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засоби</w:t>
      </w:r>
      <w:proofErr w:type="spellEnd"/>
      <w:r w:rsidR="000F1FFA" w:rsidRPr="000F1FF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радіоелектронного</w:t>
      </w:r>
      <w:proofErr w:type="spellEnd"/>
      <w:r w:rsidR="000F1FFA" w:rsidRPr="000F1FF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захисту</w:t>
      </w:r>
      <w:proofErr w:type="spellEnd"/>
      <w:r w:rsidRPr="00CD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</w:p>
    <w:p w:rsidR="000F1FFA" w:rsidRPr="00E039C8" w:rsidRDefault="000F1FFA" w:rsidP="006674E3">
      <w:pPr>
        <w:tabs>
          <w:tab w:val="left" w:pos="808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:rsidR="000F1FFA" w:rsidRPr="00A258D1" w:rsidRDefault="000F1FFA" w:rsidP="000F1FFA">
      <w:pPr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b/>
          <w:sz w:val="24"/>
          <w:szCs w:val="24"/>
          <w:u w:val="single"/>
        </w:rPr>
      </w:pPr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До </w:t>
      </w:r>
      <w:proofErr w:type="spellStart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>уваги</w:t>
      </w:r>
      <w:proofErr w:type="spellEnd"/>
      <w:r w:rsidRPr="006B3BE2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>учасників</w:t>
      </w:r>
      <w:proofErr w:type="spellEnd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: </w:t>
      </w:r>
    </w:p>
    <w:p w:rsidR="000F1FFA" w:rsidRPr="00A258D1" w:rsidRDefault="000F1FFA" w:rsidP="000F1FFA">
      <w:pPr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Вважати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зазначені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технічних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характеристиках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на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марку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виробника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конкретний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процес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характеризує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продукт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послугу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певного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суб’єкта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господарювання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proofErr w:type="gram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на</w:t>
      </w:r>
      <w:proofErr w:type="gram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торгову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марку, патент, тип,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r>
        <w:rPr>
          <w:rFonts w:ascii="Times New Roman" w:eastAsiaTheme="minorEastAsia" w:hAnsi="Times New Roman" w:cs="Calibri"/>
          <w:sz w:val="24"/>
          <w:szCs w:val="24"/>
        </w:rPr>
        <w:t>конкретнее</w:t>
      </w:r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місцепоходження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спосібвиробництва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такими,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містять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вираз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еквівалент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».</w:t>
      </w:r>
    </w:p>
    <w:p w:rsidR="000F1FFA" w:rsidRPr="00A258D1" w:rsidRDefault="000F1FFA" w:rsidP="000F1FFA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У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місцях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де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технічна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специфікація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містить</w:t>
      </w:r>
      <w:proofErr w:type="spellEnd"/>
      <w:proofErr w:type="gram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на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стандартні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характеристики,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технічні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регламенти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умови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вимоги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умовні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позначення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термінологію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пов’язані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товарами, роботами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чи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послугами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що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закуповуються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передбачені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існуючими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міжнародними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європейськими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стандартами,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іншими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спільними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технічними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європейськими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нормами,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іншими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технічними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еталонними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стандартами, нормами та правилами,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біля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кожного такого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вважати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вираз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». Таким чином,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вважається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що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до </w:t>
      </w:r>
      <w:proofErr w:type="gram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кожного</w:t>
      </w:r>
      <w:proofErr w:type="gram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додається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вираз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».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Еквівалентом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вважається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товар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еквівалентними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</w:t>
      </w:r>
      <w:proofErr w:type="spellEnd"/>
      <w:r w:rsidRPr="00A9478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кращими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характеристиками.</w:t>
      </w:r>
    </w:p>
    <w:p w:rsidR="000F1FFA" w:rsidRPr="00A258D1" w:rsidRDefault="000F1FFA" w:rsidP="000F1FFA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Обґрунтування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:</w:t>
      </w:r>
    </w:p>
    <w:p w:rsidR="000F1FFA" w:rsidRPr="00A258D1" w:rsidRDefault="000F1FFA" w:rsidP="000F1FFA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gramStart"/>
      <w:r w:rsidRPr="00A258D1">
        <w:rPr>
          <w:rFonts w:ascii="Times New Roman" w:eastAsiaTheme="minorEastAsia" w:hAnsi="Times New Roman" w:cs="Calibri"/>
          <w:sz w:val="24"/>
          <w:szCs w:val="24"/>
        </w:rPr>
        <w:t>на</w:t>
      </w:r>
      <w:proofErr w:type="gram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gram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конкретного</w:t>
      </w:r>
      <w:proofErr w:type="gram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виробника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тип та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модель товару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необхідним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оскільки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за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основнимиякісними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технічними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характеристиками товар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цієї</w:t>
      </w:r>
      <w:proofErr w:type="spellEnd"/>
      <w:r>
        <w:rPr>
          <w:rFonts w:ascii="Times New Roman" w:eastAsiaTheme="minorEastAsia" w:hAnsi="Times New Roman" w:cs="Calibri"/>
          <w:sz w:val="24"/>
          <w:szCs w:val="24"/>
          <w:lang w:val="uk-UA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компанії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таким,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оптимально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відповідає</w:t>
      </w:r>
      <w:proofErr w:type="spellEnd"/>
      <w:r w:rsidRPr="00A9478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вимогам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 потребам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замовника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.</w:t>
      </w:r>
    </w:p>
    <w:p w:rsidR="000F1FFA" w:rsidRPr="000F1FFA" w:rsidRDefault="000F1FFA" w:rsidP="006674E3">
      <w:pPr>
        <w:tabs>
          <w:tab w:val="left" w:pos="808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</w:p>
    <w:p w:rsidR="006674E3" w:rsidRPr="00A258D1" w:rsidRDefault="006674E3" w:rsidP="006674E3">
      <w:pPr>
        <w:tabs>
          <w:tab w:val="left" w:pos="80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6674E3" w:rsidRPr="00A258D1" w:rsidRDefault="006674E3" w:rsidP="006674E3">
      <w:pPr>
        <w:numPr>
          <w:ilvl w:val="0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Загальний</w:t>
      </w:r>
      <w:proofErr w:type="spellEnd"/>
      <w:r w:rsidR="00E039C8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val="uk-UA" w:eastAsia="hi-IN" w:bidi="hi-IN"/>
        </w:rPr>
        <w:t>обсяг поставки товару:</w:t>
      </w:r>
    </w:p>
    <w:p w:rsidR="006674E3" w:rsidRPr="00A258D1" w:rsidRDefault="006674E3" w:rsidP="006674E3">
      <w:pPr>
        <w:tabs>
          <w:tab w:val="left" w:pos="8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tbl>
      <w:tblPr>
        <w:tblW w:w="8931" w:type="dxa"/>
        <w:tblInd w:w="-176" w:type="dxa"/>
        <w:tblLook w:val="04A0"/>
      </w:tblPr>
      <w:tblGrid>
        <w:gridCol w:w="456"/>
        <w:gridCol w:w="3561"/>
        <w:gridCol w:w="1833"/>
        <w:gridCol w:w="3081"/>
      </w:tblGrid>
      <w:tr w:rsidR="006674E3" w:rsidRPr="00A258D1" w:rsidTr="00A7345F">
        <w:trPr>
          <w:trHeight w:val="4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4E3" w:rsidRPr="00A258D1" w:rsidRDefault="006674E3" w:rsidP="00A7345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4E3" w:rsidRPr="00A258D1" w:rsidRDefault="006674E3" w:rsidP="00A7345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4E3" w:rsidRPr="00A258D1" w:rsidRDefault="006674E3" w:rsidP="00A7345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0F1FF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4E3" w:rsidRPr="00A258D1" w:rsidRDefault="006674E3" w:rsidP="00A7345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Кіл-ть</w:t>
            </w:r>
            <w:proofErr w:type="spellEnd"/>
          </w:p>
        </w:tc>
      </w:tr>
      <w:tr w:rsidR="006674E3" w:rsidRPr="00A258D1" w:rsidTr="00A7345F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E3" w:rsidRPr="00A258D1" w:rsidRDefault="006674E3" w:rsidP="00A7345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4E3" w:rsidRPr="00A258D1" w:rsidRDefault="002F0A04" w:rsidP="00A7345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4E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Навчальний комплекс </w:t>
            </w:r>
            <w:proofErr w:type="spellStart"/>
            <w:r w:rsidRPr="006674E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“Зозулька”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F1FF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комплект</w:t>
            </w:r>
            <w:r w:rsidRPr="000F1FF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  <w:r w:rsidRPr="002F0A0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4E3" w:rsidRPr="00A258D1" w:rsidRDefault="006674E3" w:rsidP="00A73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258D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E3" w:rsidRPr="006674E3" w:rsidRDefault="006674E3" w:rsidP="00A73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6674E3" w:rsidRPr="00A258D1" w:rsidRDefault="006674E3" w:rsidP="006674E3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p w:rsidR="006674E3" w:rsidRPr="00A258D1" w:rsidRDefault="006674E3" w:rsidP="006674E3">
      <w:pPr>
        <w:numPr>
          <w:ilvl w:val="0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Технічні</w:t>
      </w:r>
      <w:proofErr w:type="spellEnd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 xml:space="preserve"> характеристики</w:t>
      </w:r>
    </w:p>
    <w:p w:rsidR="006674E3" w:rsidRPr="000F1FFA" w:rsidRDefault="00E039C8" w:rsidP="000F1FFA">
      <w:pPr>
        <w:pStyle w:val="a4"/>
        <w:numPr>
          <w:ilvl w:val="1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r w:rsidRPr="00E039C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74E3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Навчальний комплекс </w:t>
      </w:r>
      <w:proofErr w:type="spellStart"/>
      <w:r w:rsidR="006674E3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“Зозулька”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 комплект</w:t>
      </w:r>
      <w:r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і</w:t>
      </w:r>
      <w:r w:rsidR="000F1FFA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674E3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або</w:t>
      </w:r>
      <w:proofErr w:type="spellEnd"/>
      <w:r w:rsidR="000F1FFA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74E3" w:rsidRPr="000F1F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еквівалент</w:t>
      </w:r>
      <w:r w:rsidR="006674E3" w:rsidRPr="000F1FFA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 xml:space="preserve"> – 5</w:t>
      </w:r>
      <w:r w:rsidR="000F1FFA" w:rsidRPr="000F1FFA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6674E3" w:rsidRPr="000F1FFA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шт</w:t>
      </w:r>
      <w:proofErr w:type="spellEnd"/>
    </w:p>
    <w:p w:rsidR="006674E3" w:rsidRPr="000F1FFA" w:rsidRDefault="006674E3" w:rsidP="006674E3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</w:p>
    <w:p w:rsidR="006674E3" w:rsidRPr="006674E3" w:rsidRDefault="006674E3" w:rsidP="006674E3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val="uk-UA" w:eastAsia="hi-IN" w:bidi="hi-IN"/>
        </w:rPr>
      </w:pPr>
      <w:r w:rsidRPr="006674E3"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val="uk-UA" w:eastAsia="hi-IN" w:bidi="hi-IN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p w:rsidR="006674E3" w:rsidRPr="006674E3" w:rsidRDefault="006674E3" w:rsidP="006674E3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val="uk-UA" w:eastAsia="hi-IN" w:bidi="hi-IN"/>
        </w:rPr>
      </w:pP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Живлення 220V. </w:t>
      </w:r>
      <w:bookmarkStart w:id="1" w:name="_GoBack"/>
      <w:bookmarkEnd w:id="1"/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Доступ до мережі та кабель LAN rj45.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Роз’єм LAN rj45 до комп’ютера,  при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offline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Програмне забезпечення BFG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ControlPanel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hyperlink w:anchor="_7chkadqe5mwj">
        <w:r w:rsidRPr="006674E3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 xml:space="preserve">підключення </w:t>
        </w:r>
        <w:proofErr w:type="spellStart"/>
        <w:r w:rsidRPr="006674E3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online</w:t>
        </w:r>
        <w:proofErr w:type="spellEnd"/>
      </w:hyperlink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Файл конфігурації для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Wireguard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Для </w:t>
      </w:r>
      <w:hyperlink w:anchor="_32rmtv99ihm9">
        <w:r w:rsidRPr="006674E3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 xml:space="preserve">підключення </w:t>
        </w:r>
        <w:proofErr w:type="spellStart"/>
        <w:r w:rsidRPr="006674E3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offline</w:t>
        </w:r>
        <w:proofErr w:type="spellEnd"/>
      </w:hyperlink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можливість здійснити DHCP підключення. 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Споживана потужність: </w:t>
      </w:r>
    </w:p>
    <w:p w:rsidR="006674E3" w:rsidRPr="006674E3" w:rsidRDefault="006674E3" w:rsidP="006674E3">
      <w:pPr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В пасивному стані до 150W,</w:t>
      </w:r>
    </w:p>
    <w:p w:rsidR="006674E3" w:rsidRPr="006674E3" w:rsidRDefault="006674E3" w:rsidP="006674E3">
      <w:pPr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активному стані до 400W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Напруга коробки живлення: 48V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Випромінювана потужність: до 150W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Стандартний діапазон частот: 860-960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MhZ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Підходить для глушіння таких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БпЛА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 Орлан,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Zala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Ланцет,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Supercam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Керування комплексом здійснюється за допомогою спеціальної програми BFG </w:t>
      </w:r>
      <w:proofErr w:type="spellStart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ControlPanel</w:t>
      </w:r>
      <w:proofErr w:type="spellEnd"/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Час безперервної роботи комплексу: до 60 годин. 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>Ефективна дальність дії: В залежності від типу антени ефективна дальність дії: Антена ненаправлена: ~15 км, Антена Метелик: ~30-40 км</w:t>
      </w:r>
    </w:p>
    <w:p w:rsidR="006674E3" w:rsidRPr="006674E3" w:rsidRDefault="006674E3" w:rsidP="006674E3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67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Антена DRFD-720/150</w:t>
      </w:r>
    </w:p>
    <w:p w:rsidR="000F1FFA" w:rsidRPr="00CD720A" w:rsidRDefault="000F1FFA" w:rsidP="000F1FF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Товар</w:t>
      </w:r>
      <w:r w:rsidRPr="00CD72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новий, придатний до використання за призначенням згідно з Паспортом товару та Інструкцією з експлуатації/налаштування/збирання Товару.</w:t>
      </w:r>
    </w:p>
    <w:p w:rsidR="000F1FFA" w:rsidRDefault="000F1FFA" w:rsidP="000F1FFA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A40A4D">
        <w:rPr>
          <w:lang w:val="uk-UA"/>
        </w:rPr>
        <w:t>Вимоги до предмету закупівлі:</w:t>
      </w:r>
    </w:p>
    <w:p w:rsidR="000F1FFA" w:rsidRPr="00A40A4D" w:rsidRDefault="000F1FFA" w:rsidP="000F1FFA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A40A4D">
        <w:rPr>
          <w:lang w:val="uk-UA"/>
        </w:rPr>
        <w:t>1) Товар, запропонований Учасником, має бути новим, повинен відповідати технічним характеристикам, викладеним у даному додатку до тендерної документації.</w:t>
      </w:r>
    </w:p>
    <w:p w:rsidR="000F1FFA" w:rsidRPr="00295D99" w:rsidRDefault="000F1FFA" w:rsidP="000F1FFA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295D99">
        <w:rPr>
          <w:lang w:val="uk-UA"/>
        </w:rPr>
        <w:t>2) Учасник визначає ціни на товари, які він пропонує поставити за Договором, з урахуванням усіх своїх витрат на доставку, завантаження, розвантаження транспортних до місця поставки та інших витрат.</w:t>
      </w:r>
    </w:p>
    <w:p w:rsidR="000F1FFA" w:rsidRPr="00295D99" w:rsidRDefault="000F1FFA" w:rsidP="000F1FFA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295D99">
        <w:rPr>
          <w:lang w:val="uk-UA"/>
        </w:rPr>
        <w:t>3) До вартості товару не включаються витрати, понесені учасником під час підготовки та участі в процедурі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0F1FFA" w:rsidRPr="00E039C8" w:rsidRDefault="000F1FFA" w:rsidP="000F1FF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Товар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щодо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показників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якості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повинен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відповідати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вимогам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встановленим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нього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загальнообов’язковими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території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України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нормам та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власним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ТУ.</w:t>
      </w:r>
    </w:p>
    <w:p w:rsidR="000F1FFA" w:rsidRPr="0008327C" w:rsidRDefault="000F1FFA" w:rsidP="000F1FFA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Для підтвердження</w:t>
      </w:r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якості товару Учасник повинен надати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складі пропозиції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документи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підтверджують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якість товару. Такими документами можуть бути сертифікат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якості, або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сертифікат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відповідності, або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декларація про відповідність, або протокол випробування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 паспорт виробу на усі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предмети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закупівлі;</w:t>
      </w:r>
    </w:p>
    <w:p w:rsidR="000F1FFA" w:rsidRPr="0008327C" w:rsidRDefault="000F1FFA" w:rsidP="000F1FFA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 передачі Товару Учасник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надає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Замовнику: акт приймання-передачі, видаткову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накладну та документи</w:t>
      </w:r>
      <w:r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підтверджуючі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якість товару.</w:t>
      </w:r>
    </w:p>
    <w:p w:rsidR="000F1FFA" w:rsidRPr="00E039C8" w:rsidRDefault="000F1FFA" w:rsidP="000F1FFA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випадках, коли у наведеному вище Додатку містяться посилання на конкретні торгівельні марки чи фірму, конструкцію, тип механізму або матеріалів, джерело його походження або   виробника – слід читати як «або еквівалент».</w:t>
      </w:r>
    </w:p>
    <w:p w:rsidR="000F1FFA" w:rsidRPr="00E039C8" w:rsidRDefault="000F1FFA" w:rsidP="000F1FFA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надання еквіваленту товару, учасник надає порівняльну таблицю запропонованого товару, в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якій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надає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чіткий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опис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параметри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запропонованого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товару,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відомості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виробника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або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торгову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марку на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запропонований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товар. </w:t>
      </w:r>
      <w:proofErr w:type="spellStart"/>
      <w:proofErr w:type="gram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</w:t>
      </w:r>
      <w:proofErr w:type="gram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технічні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характеристики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запропонованого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товару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мають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відповідати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технічним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вимогам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замовленого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товару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або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бути </w:t>
      </w:r>
      <w:proofErr w:type="spellStart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кращими</w:t>
      </w:r>
      <w:proofErr w:type="spellEnd"/>
      <w:r w:rsidRPr="00E03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0F1FFA" w:rsidRPr="000A6537" w:rsidRDefault="000F1FFA" w:rsidP="000F1FFA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9) Учасник у складі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пропозиції повинен надати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довідку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щодо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гарантійного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терміну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експлуатації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обладнання не менше 12 місяців з моменту отримання товару замовником, в якій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гарантує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якість товару і що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безкоштовно буде здійснювати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його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гарантійне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обслуговування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встановленого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терміну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експлуатації за умови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дотримання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Замовником</w:t>
      </w:r>
      <w:r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вимог до зберігання та користування товару, що є предметом закупівлі.</w:t>
      </w:r>
    </w:p>
    <w:p w:rsidR="000F1FFA" w:rsidRPr="00372341" w:rsidRDefault="000F1FFA" w:rsidP="000F1FFA">
      <w:pPr>
        <w:tabs>
          <w:tab w:val="left" w:pos="8080"/>
        </w:tabs>
        <w:suppressAutoHyphens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</w:p>
    <w:p w:rsidR="000F1FFA" w:rsidRPr="005B37A6" w:rsidRDefault="000F1FFA" w:rsidP="000F1FFA">
      <w:pPr>
        <w:pStyle w:val="1"/>
        <w:ind w:firstLine="709"/>
        <w:jc w:val="both"/>
        <w:rPr>
          <w:rFonts w:ascii="Roboto" w:eastAsia="Roboto" w:hAnsi="Roboto" w:cs="Roboto"/>
          <w:sz w:val="20"/>
          <w:szCs w:val="20"/>
          <w:lang w:val="uk-UA"/>
        </w:rPr>
      </w:pPr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Учасник на підтвердження відповідності запропонованого </w:t>
      </w:r>
      <w:proofErr w:type="spellStart"/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товаруу</w:t>
      </w:r>
      <w:proofErr w:type="spellEnd"/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складі пропозиції надає порівняльну таблицю запропонованих товарів та тих які вимагаються Замовником. В таблиці зазначити фірму виробника, країну походження товару, порівняльні  технічні характеристики запропонованих товарів. </w:t>
      </w:r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НЕДОПУСКАЄТЬСЯ ДО ЗАКУПІВЛІ ТОВАРИ походженням з Російської Федерації, Республіки Білорусь, </w:t>
      </w:r>
      <w:r w:rsidRPr="00A637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Ісламської Республіки Іран.</w:t>
      </w:r>
    </w:p>
    <w:p w:rsidR="000F1FFA" w:rsidRDefault="000F1FFA" w:rsidP="000F1F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22D" w:rsidRPr="006674E3" w:rsidRDefault="0074222D">
      <w:pPr>
        <w:rPr>
          <w:lang w:val="uk-UA"/>
        </w:rPr>
      </w:pPr>
    </w:p>
    <w:sectPr w:rsidR="0074222D" w:rsidRPr="006674E3" w:rsidSect="0074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0CC"/>
    <w:multiLevelType w:val="multilevel"/>
    <w:tmpl w:val="CC8A4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B15F96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4DAD2712"/>
    <w:multiLevelType w:val="multilevel"/>
    <w:tmpl w:val="4A6C6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B111D51"/>
    <w:multiLevelType w:val="multilevel"/>
    <w:tmpl w:val="1AEE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="Times New Roman" w:hint="default"/>
        <w:color w:val="000000" w:themeColor="text1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945"/>
    <w:rsid w:val="000F1FFA"/>
    <w:rsid w:val="002F0A04"/>
    <w:rsid w:val="005E64F7"/>
    <w:rsid w:val="006674E3"/>
    <w:rsid w:val="0074222D"/>
    <w:rsid w:val="00E039C8"/>
    <w:rsid w:val="00EB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74E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6674E3"/>
    <w:rPr>
      <w:color w:val="0000FF" w:themeColor="hyperlink"/>
      <w:u w:val="single"/>
    </w:rPr>
  </w:style>
  <w:style w:type="paragraph" w:styleId="a4">
    <w:name w:val="List Paragraph"/>
    <w:aliases w:val="название табл/рис,заголовок 1.1,AC List 01,EBRD List,Список уровня 2,List Paragraph,CA bullets,Bullet Number,Bullet 1,Use Case List Paragraph,lp1,lp11,List Paragraph11,Chapter10,Абзац списку 1,тв-Абзац списка,List Paragraph (numbered (a))"/>
    <w:basedOn w:val="a"/>
    <w:link w:val="a5"/>
    <w:qFormat/>
    <w:rsid w:val="000F1FFA"/>
    <w:pPr>
      <w:ind w:left="720"/>
      <w:contextualSpacing/>
    </w:pPr>
  </w:style>
  <w:style w:type="character" w:customStyle="1" w:styleId="a5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4"/>
    <w:qFormat/>
    <w:rsid w:val="000F1FFA"/>
  </w:style>
  <w:style w:type="paragraph" w:customStyle="1" w:styleId="ListParagraph1">
    <w:name w:val="List Paragraph1"/>
    <w:basedOn w:val="a"/>
    <w:qFormat/>
    <w:rsid w:val="000F1FF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link w:val="Normal"/>
    <w:uiPriority w:val="99"/>
    <w:qFormat/>
    <w:rsid w:val="000F1FFA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Normal">
    <w:name w:val="Normal Знак"/>
    <w:link w:val="1"/>
    <w:uiPriority w:val="99"/>
    <w:locked/>
    <w:rsid w:val="000F1FFA"/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2024-04-23T14:08:00Z</dcterms:created>
  <dcterms:modified xsi:type="dcterms:W3CDTF">2024-04-29T11:01:00Z</dcterms:modified>
</cp:coreProperties>
</file>