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3887" w14:textId="0B29BB23" w:rsidR="00920F36" w:rsidRPr="00CA3748" w:rsidRDefault="00920F36" w:rsidP="00920F36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3</w:t>
      </w:r>
    </w:p>
    <w:p w14:paraId="67C2986A" w14:textId="77777777" w:rsidR="00920F36" w:rsidRPr="00CC3AB3" w:rsidRDefault="00920F36" w:rsidP="00CC3AB3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C3A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68A43907" w14:textId="77777777" w:rsidR="00CE3A79" w:rsidRPr="00CE3A79" w:rsidRDefault="00CE3A79" w:rsidP="00CE3A7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A79">
        <w:rPr>
          <w:rFonts w:ascii="Times New Roman" w:hAnsi="Times New Roman" w:cs="Times New Roman"/>
          <w:b/>
          <w:sz w:val="24"/>
          <w:szCs w:val="24"/>
          <w:lang w:val="uk-UA"/>
        </w:rPr>
        <w:t>ТЕХНІЧНІ ВИМОГИ</w:t>
      </w:r>
    </w:p>
    <w:p w14:paraId="4237F28F" w14:textId="7F2CAC63" w:rsidR="00920F36" w:rsidRPr="00CE3A79" w:rsidRDefault="00CE3A79" w:rsidP="00CE3A7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A79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 .</w:t>
      </w:r>
    </w:p>
    <w:p w14:paraId="044FD0B8" w14:textId="77777777" w:rsidR="003B64F7" w:rsidRPr="003B64F7" w:rsidRDefault="003B64F7" w:rsidP="003B64F7">
      <w:pPr>
        <w:pStyle w:val="a4"/>
        <w:numPr>
          <w:ilvl w:val="0"/>
          <w:numId w:val="11"/>
        </w:numPr>
        <w:spacing w:after="120" w:line="240" w:lineRule="auto"/>
        <w:ind w:left="0" w:firstLine="709"/>
        <w:rPr>
          <w:rFonts w:eastAsia="Times New Roman" w:cs="Times New Roman"/>
          <w:b/>
          <w:szCs w:val="24"/>
          <w:lang w:eastAsia="uk-UA"/>
        </w:rPr>
      </w:pPr>
      <w:proofErr w:type="spellStart"/>
      <w:r w:rsidRPr="003B64F7">
        <w:rPr>
          <w:rFonts w:eastAsia="Times New Roman" w:cs="Times New Roman"/>
          <w:b/>
          <w:szCs w:val="24"/>
          <w:lang w:eastAsia="uk-UA"/>
        </w:rPr>
        <w:t>Загальний</w:t>
      </w:r>
      <w:proofErr w:type="spellEnd"/>
      <w:r w:rsidRPr="003B64F7">
        <w:rPr>
          <w:rFonts w:eastAsia="Times New Roman" w:cs="Times New Roman"/>
          <w:b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b/>
          <w:szCs w:val="24"/>
          <w:lang w:eastAsia="uk-UA"/>
        </w:rPr>
        <w:t>опис</w:t>
      </w:r>
      <w:proofErr w:type="spellEnd"/>
      <w:r w:rsidRPr="003B64F7">
        <w:rPr>
          <w:rFonts w:eastAsia="Times New Roman" w:cs="Times New Roman"/>
          <w:b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b/>
          <w:szCs w:val="24"/>
          <w:lang w:eastAsia="uk-UA"/>
        </w:rPr>
        <w:t>послуг</w:t>
      </w:r>
      <w:proofErr w:type="spellEnd"/>
      <w:r w:rsidRPr="003B64F7">
        <w:rPr>
          <w:rFonts w:eastAsia="Times New Roman" w:cs="Times New Roman"/>
          <w:b/>
          <w:szCs w:val="24"/>
          <w:lang w:eastAsia="uk-UA"/>
        </w:rPr>
        <w:t>.</w:t>
      </w:r>
    </w:p>
    <w:p w14:paraId="0506E84E" w14:textId="6B8AAB06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Предмет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включає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полягають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proofErr w:type="gram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Учасником</w:t>
      </w:r>
      <w:proofErr w:type="spellEnd"/>
      <w:proofErr w:type="gram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комплексу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громадського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порядку , 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особистої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перебувають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50ABA6B" w14:textId="38750EB1" w:rsid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діяльність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практичного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спрямованих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недоторканності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,</w:t>
      </w:r>
      <w:proofErr w:type="gram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цілісності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 метою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недопущення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припинення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безпосередніх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посягань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майно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протиправних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нього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збереження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стану майна,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припинення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несанкціонованого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доступу до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нього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підтримки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правопорядку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</w:t>
      </w:r>
    </w:p>
    <w:p w14:paraId="7DC17A55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BE0ABF0" w14:textId="77777777" w:rsidR="003B64F7" w:rsidRPr="003B64F7" w:rsidRDefault="003B64F7" w:rsidP="003B64F7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2.Місце,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обсяг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режим та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термін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надання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послуг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14:paraId="55310E12" w14:textId="77777777" w:rsidR="003B64F7" w:rsidRPr="003B64F7" w:rsidRDefault="003B64F7" w:rsidP="003B64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Місце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: </w:t>
      </w: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м.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Інститутська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29.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Підлягає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Фізкультурно-спортивне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товариство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"Динамо"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далі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14:paraId="55F5BA5B" w14:textId="77777777" w:rsidR="003B64F7" w:rsidRPr="003B64F7" w:rsidRDefault="003B64F7" w:rsidP="003B64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Обсяг</w:t>
      </w:r>
      <w:proofErr w:type="spellEnd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:</w:t>
      </w: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цілодобовий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пост з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реагуванням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тривожну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сигналізацію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4EFB0B86" w14:textId="77777777" w:rsidR="003B64F7" w:rsidRPr="003B64F7" w:rsidRDefault="003B64F7" w:rsidP="003B64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Режим:</w:t>
      </w: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цілодобовий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допустимий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графік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доба через три.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Вахтовий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метод –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розглядатись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буде)</w:t>
      </w:r>
    </w:p>
    <w:p w14:paraId="0FF6050D" w14:textId="55D1A03C" w:rsidR="003B64F7" w:rsidRDefault="003B64F7" w:rsidP="003B64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Термін</w:t>
      </w:r>
      <w:proofErr w:type="spellEnd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надання</w:t>
      </w:r>
      <w:proofErr w:type="spellEnd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послуг</w:t>
      </w:r>
      <w:proofErr w:type="spellEnd"/>
      <w:r w:rsidRPr="003B64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:</w:t>
      </w: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.2024 </w:t>
      </w:r>
      <w:proofErr w:type="gram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року  по</w:t>
      </w:r>
      <w:proofErr w:type="gram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31.12.2024 року.</w:t>
      </w:r>
    </w:p>
    <w:p w14:paraId="65FD10A9" w14:textId="77777777" w:rsidR="003B64F7" w:rsidRPr="003B64F7" w:rsidRDefault="003B64F7" w:rsidP="003B64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FE01CF7" w14:textId="77777777" w:rsidR="003B64F7" w:rsidRPr="003B64F7" w:rsidRDefault="003B64F7" w:rsidP="003B64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3.Вимоги до </w:t>
      </w:r>
      <w:proofErr w:type="spellStart"/>
      <w:r w:rsidRPr="003B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</w:t>
      </w:r>
      <w:proofErr w:type="spellEnd"/>
      <w:r w:rsidRPr="003B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охорони</w:t>
      </w:r>
      <w:proofErr w:type="spellEnd"/>
      <w:r w:rsidRPr="003B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</w:p>
    <w:p w14:paraId="2716C518" w14:textId="77777777" w:rsidR="003B64F7" w:rsidRPr="003B64F7" w:rsidRDefault="003B64F7" w:rsidP="003B64F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uk-UA"/>
        </w:rPr>
      </w:pPr>
      <w:proofErr w:type="spellStart"/>
      <w:r w:rsidRPr="003B64F7">
        <w:rPr>
          <w:rFonts w:eastAsia="Times New Roman" w:cs="Times New Roman"/>
          <w:szCs w:val="24"/>
          <w:lang w:eastAsia="uk-UA"/>
        </w:rPr>
        <w:t>Здійснення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пропускного режиму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згідно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proofErr w:type="gramStart"/>
      <w:r w:rsidRPr="003B64F7">
        <w:rPr>
          <w:rFonts w:eastAsia="Times New Roman" w:cs="Times New Roman"/>
          <w:szCs w:val="24"/>
          <w:lang w:eastAsia="uk-UA"/>
        </w:rPr>
        <w:t>вимог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Правил</w:t>
      </w:r>
      <w:proofErr w:type="gram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щодо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забезпечення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режимних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заходів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на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території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Об’єкту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; </w:t>
      </w:r>
    </w:p>
    <w:p w14:paraId="2F93DF85" w14:textId="77777777" w:rsidR="003B64F7" w:rsidRPr="003B64F7" w:rsidRDefault="003B64F7" w:rsidP="003B64F7">
      <w:pPr>
        <w:pStyle w:val="a4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Cs w:val="24"/>
          <w:lang w:eastAsia="uk-UA"/>
        </w:rPr>
      </w:pPr>
      <w:proofErr w:type="spellStart"/>
      <w:r w:rsidRPr="003B64F7">
        <w:rPr>
          <w:rFonts w:eastAsia="Times New Roman" w:cs="Times New Roman"/>
          <w:szCs w:val="24"/>
          <w:lang w:eastAsia="uk-UA"/>
        </w:rPr>
        <w:t>організація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та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забезпечення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підтримки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правопорядку на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території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Об’єкту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,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спільно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з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Замовником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вжиття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необхідних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заходів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щодо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впровадження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технічних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засобів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безпеки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;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проведення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заходів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,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направлених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на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виявлення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і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попередження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порушення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громадського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порядку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третіми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особами на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території</w:t>
      </w:r>
      <w:proofErr w:type="spellEnd"/>
      <w:r w:rsidRPr="003B64F7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3B64F7">
        <w:rPr>
          <w:rFonts w:eastAsia="Times New Roman" w:cs="Times New Roman"/>
          <w:szCs w:val="24"/>
          <w:lang w:eastAsia="uk-UA"/>
        </w:rPr>
        <w:t>Об’єкту</w:t>
      </w:r>
      <w:proofErr w:type="spellEnd"/>
    </w:p>
    <w:p w14:paraId="56F2B4D3" w14:textId="6C467C68" w:rsidR="003B64F7" w:rsidRPr="003B64F7" w:rsidRDefault="003B64F7" w:rsidP="003B64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кваліфікований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персонал для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реагування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нештатну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ситуацію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охоронник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повинен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скористатись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тривожною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кнопкою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виклику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групи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швидкого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реагування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Прибуття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групи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швидкого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реагування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повинно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здійснюватися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строк,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перевищує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(десяти)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хвилин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моменту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натиснення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тривожної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кнопки);</w:t>
      </w:r>
    </w:p>
    <w:p w14:paraId="380FF5BE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виконавець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відповідальність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шкоду,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спричинену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шляхом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знищення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пошкодження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майна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сторонніми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особами,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проникли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об'єкта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неналежного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персоналом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Виконавця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договірних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зобов'язань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Замовником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пропускного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внутрішньо-об’єктового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режиму, даний факт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встановлюється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комісією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працівників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proofErr w:type="gram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</w:t>
      </w:r>
    </w:p>
    <w:p w14:paraId="575353DD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виконавець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відповідальність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шкоду,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спричинену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крадіжками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шляхом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скоєння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злочинів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товарно-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матеріальних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цінностей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неналежного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внаслідок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невиконання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персоналом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Виконавця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об'єкті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порядку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винесення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товарно-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матеріальних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цінностей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Факт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пропажі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пошкодження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майна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встановлюється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комісією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працівників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proofErr w:type="gram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ознак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скоєння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злочину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правопорушення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призвело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втрати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пошкодження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майна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даний факт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встановлюється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відповідними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органами. </w:t>
      </w:r>
    </w:p>
    <w:p w14:paraId="32C516F5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негайне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оповіщення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працівників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цілісності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приміщень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крадіжки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грабежу,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розбою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підпалу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тощо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до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прибуття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вищезазначених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представників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недоторканості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4E0E8E65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негайне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оповіщення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пожежної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працівників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Об’єктах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пожежі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ліквідації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пожежі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1F7986EB" w14:textId="3DC618DB" w:rsidR="003B64F7" w:rsidRPr="003B64F7" w:rsidRDefault="003B64F7" w:rsidP="003B64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система менеджменту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якості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повинна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вимогам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міжнародного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стандарту ДСТУ </w:t>
      </w:r>
      <w:r w:rsidRPr="003B64F7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ISO</w:t>
      </w:r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9001:2015 </w:t>
      </w:r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«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Системи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управління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якістю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Сфера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дії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сертифікату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повинна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відповідати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по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своїй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суті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послугам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предмету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закупівлі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Учасник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процедури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закупівлі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таку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вимогу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повинен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надати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складі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своєї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тендерної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пропозиції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оригінал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копію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сертифіката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(документа),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який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відповідає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встановленим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вимогам</w:t>
      </w:r>
      <w:proofErr w:type="spellEnd"/>
      <w:r w:rsidRPr="003B64F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дійсного</w:t>
      </w:r>
      <w:proofErr w:type="spellEnd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протягом</w:t>
      </w:r>
      <w:proofErr w:type="spellEnd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строку </w:t>
      </w:r>
      <w:proofErr w:type="spellStart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надання</w:t>
      </w:r>
      <w:proofErr w:type="spellEnd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послуг</w:t>
      </w:r>
      <w:proofErr w:type="spellEnd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визначеного</w:t>
      </w:r>
      <w:proofErr w:type="spellEnd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цією</w:t>
      </w:r>
      <w:proofErr w:type="spellEnd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тендерною </w:t>
      </w:r>
      <w:proofErr w:type="spellStart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документацією</w:t>
      </w:r>
      <w:proofErr w:type="spellEnd"/>
      <w:r w:rsidRPr="003B6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439B120" w14:textId="77777777" w:rsidR="003B64F7" w:rsidRPr="003B64F7" w:rsidRDefault="003B64F7" w:rsidP="003B64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наявність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працівників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спеціальних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засобів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індивідуального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захисту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аерозольні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балони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відповідають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чинному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законодавству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та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форменого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одягу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працівників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сезону</w:t>
      </w:r>
      <w:proofErr w:type="gram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14:paraId="044CE49B" w14:textId="77777777" w:rsidR="003B64F7" w:rsidRPr="003B64F7" w:rsidRDefault="003B64F7" w:rsidP="003B64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охоронців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засобами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зв’язку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мобільні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телефони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радіостанції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тощо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proofErr w:type="gramStart"/>
      <w:r w:rsidRPr="003B64F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proofErr w:type="gramEnd"/>
      <w:r w:rsidRPr="003B64F7">
        <w:rPr>
          <w:rFonts w:ascii="Times New Roman" w:hAnsi="Times New Roman" w:cs="Times New Roman"/>
          <w:sz w:val="24"/>
          <w:szCs w:val="24"/>
        </w:rPr>
        <w:t xml:space="preserve"> Постанови №139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19.04.2023 «Про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радіочастотного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смугах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радіочастот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», на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сканкопії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автоматизованої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радіочастотним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спектром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радіочастот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зареєстрованих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регіоні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регіонах</w:t>
      </w:r>
      <w:proofErr w:type="spellEnd"/>
      <w:r w:rsidRPr="003B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F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14EAC8D5" w14:textId="77777777" w:rsidR="003B64F7" w:rsidRPr="003B64F7" w:rsidRDefault="003B64F7" w:rsidP="003B64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виконавець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повинен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посилювати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пост в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нештатних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ситуаціях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службовою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необхідністю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при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охоронці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повинні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екіпіровані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спецзасобами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при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бронежилетами </w:t>
      </w:r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наявність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достатньої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14:paraId="0E27418A" w14:textId="77777777" w:rsidR="003B64F7" w:rsidRPr="003B64F7" w:rsidRDefault="003B64F7" w:rsidP="003B64F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7030A0"/>
          <w:sz w:val="24"/>
          <w:szCs w:val="24"/>
          <w:lang w:eastAsia="uk-UA"/>
        </w:rPr>
        <w:t xml:space="preserve"> </w:t>
      </w: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1309FA6A" w14:textId="7F5B6D73" w:rsidR="003B64F7" w:rsidRPr="003B64F7" w:rsidRDefault="003B64F7" w:rsidP="003B64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4.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Вимоги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до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охоронників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: </w:t>
      </w:r>
    </w:p>
    <w:p w14:paraId="00D87F97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охоронників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знань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навичок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приладами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протипожежної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сигналізації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відеоспостереження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підтверджується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свідоцтв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проходження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відповідному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навчальному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присвоєнням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робітничої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кваліфікації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менше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ІІІ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розряду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0CA3777C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добрий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психічного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здоров’я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762B894A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охоронники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повинні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одягнені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формений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одяг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зовнішні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знаки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належності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надати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фото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примірника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форменого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одягу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охоронника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визначеними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зовнішніми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знаками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належності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підприємства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Мати при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собі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необхідні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засоби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активної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оборони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необхідних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збереження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майна </w:t>
      </w:r>
      <w:proofErr w:type="spellStart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14:paraId="7F3EDEE4" w14:textId="77777777" w:rsidR="003B64F7" w:rsidRPr="003B64F7" w:rsidRDefault="003B64F7" w:rsidP="003B64F7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</w:p>
    <w:p w14:paraId="29F9D4EE" w14:textId="7182DC2C" w:rsidR="003B64F7" w:rsidRPr="003B64F7" w:rsidRDefault="003B64F7" w:rsidP="003B64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5. 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Обов’язки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охоронників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. </w:t>
      </w:r>
    </w:p>
    <w:p w14:paraId="706A6AED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суворе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Правил</w:t>
      </w:r>
      <w:proofErr w:type="gram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режимних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3D94F657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охоронниками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правил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внутрішнього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розпорядку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професійних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знань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етики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своїх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16BB4558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перевіряти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встановленими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відповідними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документами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подорожнім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листом, накладною,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рахунком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-фактурою)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винесення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вивезення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ввезення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будь-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майна,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в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дозволено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винести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(внести)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вивезти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(ввезти); </w:t>
      </w:r>
    </w:p>
    <w:p w14:paraId="295FFD5D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нестандартних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ситуацій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взаємодію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представниками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силових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відомств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При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ознак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проникнення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сторонніх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негайно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сповістити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поліцію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недоторканість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пригоди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викликати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62879BB2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з метою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перевірки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зачинення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дверей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приміщень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контролю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протипожежного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графіку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т.ч.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нічний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обхід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</w:t>
      </w:r>
    </w:p>
    <w:p w14:paraId="076CDD60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пожежі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пропуск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пожежних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машин,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пожежі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повідомити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найближчі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джерела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пожежного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водопостачання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767559F4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дотримуватися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маршруту руху по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графіку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обходів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0F08DAAF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не </w:t>
      </w:r>
      <w:proofErr w:type="spellStart"/>
      <w:proofErr w:type="gram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допускати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на</w:t>
      </w:r>
      <w:proofErr w:type="gram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знаходяться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впливом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алкоголю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наркотичних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61BA148F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-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нештатній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ситуації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охоронник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повинен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використовувати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систему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тривожного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зв'язку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тривожна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кнопка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система оперативно-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тривожного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зв'язку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місцях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3AB39980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використовувати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телефонні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мережі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виключно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службових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цілях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17149E64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охайно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вдягнутим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форменому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одязі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0D0D2278" w14:textId="77777777" w:rsidR="003B64F7" w:rsidRPr="003B64F7" w:rsidRDefault="003B64F7" w:rsidP="003B64F7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4BF01BA7" w14:textId="44456684" w:rsidR="003B64F7" w:rsidRPr="003B64F7" w:rsidRDefault="003B64F7" w:rsidP="003B64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6.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Охоронне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підприємство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зобов’язане</w:t>
      </w:r>
      <w:proofErr w:type="spellEnd"/>
      <w:r w:rsidRPr="003B6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: </w:t>
      </w:r>
    </w:p>
    <w:p w14:paraId="5561A923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створювати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належному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матеріально-технічні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зазначених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своєчасність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спрямованих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реалізацію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1EA28AE5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добір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розстановку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виховання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особового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складу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кваліфікаційного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стану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здоров’я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професійно-психологічне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супроводження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додержання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ним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службової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трудової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дисципліни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5CB72B3D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постійно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підтримувати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психологічний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рівень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підготовки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особового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складу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рівень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професіоналізму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7A0297E7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проводити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попередній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періодичний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психіатричний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огляд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профілактичний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наркологічний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огляд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(для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охоронників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</w:t>
      </w:r>
    </w:p>
    <w:p w14:paraId="508A6377" w14:textId="77777777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правопорушення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сторонніми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особами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цілісності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приміщення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прилеглої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gram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моменту</w:t>
      </w:r>
      <w:proofErr w:type="gram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прибуття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уповноваженої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особи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6816B175" w14:textId="3FDF1529" w:rsidR="003B64F7" w:rsidRPr="0046734D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</w:t>
      </w:r>
      <w:proofErr w:type="spellEnd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спостереження</w:t>
      </w:r>
      <w:proofErr w:type="spellEnd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станом </w:t>
      </w:r>
      <w:proofErr w:type="spellStart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сигналізації</w:t>
      </w:r>
      <w:proofErr w:type="spellEnd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об’єкта</w:t>
      </w:r>
      <w:proofErr w:type="spellEnd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оперативного </w:t>
      </w:r>
      <w:proofErr w:type="spellStart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реагувати</w:t>
      </w:r>
      <w:proofErr w:type="spellEnd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сигнали</w:t>
      </w:r>
      <w:proofErr w:type="spellEnd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тривоги</w:t>
      </w:r>
      <w:proofErr w:type="spellEnd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A6497"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Для підтвердження в складі пропозиції надати копію </w:t>
      </w:r>
      <w:r w:rsidR="0012337E"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чинного </w:t>
      </w:r>
      <w:r w:rsidR="00DA6497"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договору з Управлінням поліції охорони про спостереження за станом сигналізації з реагуванням наряду поліції охорони.</w:t>
      </w:r>
    </w:p>
    <w:p w14:paraId="03751A64" w14:textId="6CA58594" w:rsidR="003B64F7" w:rsidRPr="003B64F7" w:rsidRDefault="003B64F7" w:rsidP="003B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Пропозиція</w:t>
      </w:r>
      <w:proofErr w:type="spellEnd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</w:t>
      </w:r>
      <w:proofErr w:type="spellEnd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повинна </w:t>
      </w:r>
      <w:proofErr w:type="spellStart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мати</w:t>
      </w:r>
      <w:proofErr w:type="spellEnd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підтвердження</w:t>
      </w:r>
      <w:proofErr w:type="spellEnd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відповідності</w:t>
      </w:r>
      <w:proofErr w:type="spellEnd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всім</w:t>
      </w:r>
      <w:proofErr w:type="spellEnd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технічним</w:t>
      </w:r>
      <w:proofErr w:type="spellEnd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якісним</w:t>
      </w:r>
      <w:proofErr w:type="spellEnd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кількісним</w:t>
      </w:r>
      <w:proofErr w:type="spellEnd"/>
      <w:r w:rsidRPr="004673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характеристикам</w:t>
      </w:r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предмета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викладена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Додатку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до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оголошення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3293F805" w14:textId="3E8228C6" w:rsidR="00CC3AB3" w:rsidRPr="003B64F7" w:rsidRDefault="003B64F7" w:rsidP="003B64F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характеристики предмета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повинні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відповідати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зареєстрованим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діючим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актам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діючого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стандартам (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передбачають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застосування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забруднення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навколишнього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середовища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обов’язковим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зазначенням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цих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3B64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21DB7690" w14:textId="576E4C02" w:rsidR="00574F5E" w:rsidRPr="00CC3AB3" w:rsidRDefault="00574F5E" w:rsidP="00CC3AB3">
      <w:pPr>
        <w:spacing w:after="0" w:line="240" w:lineRule="auto"/>
        <w:ind w:left="-15" w:right="15"/>
        <w:jc w:val="both"/>
        <w:rPr>
          <w:rFonts w:ascii="Times New Roman" w:hAnsi="Times New Roman" w:cs="Times New Roman"/>
          <w:sz w:val="24"/>
          <w:szCs w:val="24"/>
        </w:rPr>
      </w:pPr>
      <w:r w:rsidRPr="00CC3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03DFD" w14:textId="77777777" w:rsidR="00574F5E" w:rsidRPr="00574F5E" w:rsidRDefault="00574F5E" w:rsidP="00574F5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6FE49" w14:textId="77777777" w:rsidR="00574F5E" w:rsidRPr="00574F5E" w:rsidRDefault="00574F5E" w:rsidP="00574F5E">
      <w:pPr>
        <w:spacing w:after="0" w:line="240" w:lineRule="auto"/>
        <w:ind w:left="-5" w:right="15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цій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специфікації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містяться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посилання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стандартні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характеристики,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технічні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регламенти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умови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вимоги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умовні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позначення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термінологію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пов’язані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з товарами, роботами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послугами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закуповуються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передбачені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існуючими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міжнародними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європейськими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стандартами,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іншими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спільними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технічними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європейськими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нормами,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іншими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технічними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еталонними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системами,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визнаними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європейськими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органами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зі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стандартизації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національними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стандартами, нормами та правилами.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Після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кожного такого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посилання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слід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вважати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наявний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вираз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«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або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еквівалент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».</w:t>
      </w:r>
      <w:r w:rsidRPr="00574F5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A0D929D" w14:textId="76C5F53B" w:rsidR="00920F36" w:rsidRPr="00574F5E" w:rsidRDefault="00574F5E" w:rsidP="00574F5E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ця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технічна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специфікація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містить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посилання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конкретні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марку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виробника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конкретний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процес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характеризує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продукт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послугу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певного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суб’єкта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господарювання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торгові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марки,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патенти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типи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конкретне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місце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походження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спосіб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виробництва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таке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посилання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є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необхідним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обґрунтованим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Після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кожного такого</w:t>
      </w:r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посилання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слід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вважати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наявний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вираз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«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або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еквівалент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».</w:t>
      </w:r>
    </w:p>
    <w:p w14:paraId="35BE755D" w14:textId="39AEF2D6" w:rsidR="00920F36" w:rsidRDefault="00920F36" w:rsidP="00574F5E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Arial" w:hAnsi="Times New Roman"/>
          <w:sz w:val="28"/>
          <w:lang w:val="uk-UA" w:eastAsia="ru-RU"/>
        </w:rPr>
      </w:pPr>
    </w:p>
    <w:p w14:paraId="49384CCC" w14:textId="77777777" w:rsidR="00756470" w:rsidRPr="00920F36" w:rsidRDefault="00756470" w:rsidP="00920F36">
      <w:pPr>
        <w:spacing w:after="0" w:line="240" w:lineRule="auto"/>
        <w:rPr>
          <w:lang w:val="uk-UA"/>
        </w:rPr>
      </w:pPr>
    </w:p>
    <w:sectPr w:rsidR="00756470" w:rsidRPr="00920F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31A6"/>
    <w:multiLevelType w:val="hybridMultilevel"/>
    <w:tmpl w:val="D8281D26"/>
    <w:lvl w:ilvl="0" w:tplc="A2BA5A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295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EE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EDD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21A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E8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28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8ED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AD5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50EC8"/>
    <w:multiLevelType w:val="hybridMultilevel"/>
    <w:tmpl w:val="1BF01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EAB"/>
    <w:multiLevelType w:val="hybridMultilevel"/>
    <w:tmpl w:val="8C5411CA"/>
    <w:lvl w:ilvl="0" w:tplc="CD581F56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 w15:restartNumberingAfterBreak="0">
    <w:nsid w:val="23BE7B41"/>
    <w:multiLevelType w:val="hybridMultilevel"/>
    <w:tmpl w:val="A21A2640"/>
    <w:lvl w:ilvl="0" w:tplc="A2F884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1726"/>
    <w:multiLevelType w:val="hybridMultilevel"/>
    <w:tmpl w:val="A51489FE"/>
    <w:lvl w:ilvl="0" w:tplc="6532B7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496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CFC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245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2D3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AB5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CB7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4A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C8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DB036F"/>
    <w:multiLevelType w:val="hybridMultilevel"/>
    <w:tmpl w:val="91446BE6"/>
    <w:lvl w:ilvl="0" w:tplc="1C72B698">
      <w:start w:val="3"/>
      <w:numFmt w:val="bullet"/>
      <w:lvlText w:val="-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6" w15:restartNumberingAfterBreak="0">
    <w:nsid w:val="4C517A1C"/>
    <w:multiLevelType w:val="multilevel"/>
    <w:tmpl w:val="BC2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00075"/>
    <w:multiLevelType w:val="hybridMultilevel"/>
    <w:tmpl w:val="4798087C"/>
    <w:lvl w:ilvl="0" w:tplc="E59ACB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2FDC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27A6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68AE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26CA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68E1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8587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6792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243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114F02"/>
    <w:multiLevelType w:val="hybridMultilevel"/>
    <w:tmpl w:val="33ACDF38"/>
    <w:lvl w:ilvl="0" w:tplc="BF360AE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834A5A"/>
    <w:multiLevelType w:val="hybridMultilevel"/>
    <w:tmpl w:val="4EE66206"/>
    <w:lvl w:ilvl="0" w:tplc="1D7204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48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60B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011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445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45F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482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C76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A42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8F34B3"/>
    <w:multiLevelType w:val="hybridMultilevel"/>
    <w:tmpl w:val="CB6EF494"/>
    <w:lvl w:ilvl="0" w:tplc="5A667C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CE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B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2D6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ED3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41E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45B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688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099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E301ED"/>
    <w:multiLevelType w:val="multilevel"/>
    <w:tmpl w:val="33244F78"/>
    <w:lvl w:ilvl="0">
      <w:start w:val="1"/>
      <w:numFmt w:val="bullet"/>
      <w:lvlText w:val="-"/>
      <w:lvlJc w:val="left"/>
      <w:pPr>
        <w:ind w:left="37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6" w:hanging="360"/>
      </w:pPr>
      <w:rPr>
        <w:rFonts w:ascii="Wingdings" w:hAnsi="Wingdings" w:cs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92"/>
    <w:rsid w:val="000056B8"/>
    <w:rsid w:val="000417B8"/>
    <w:rsid w:val="000B0436"/>
    <w:rsid w:val="000B651A"/>
    <w:rsid w:val="000C6A71"/>
    <w:rsid w:val="0012337E"/>
    <w:rsid w:val="00143845"/>
    <w:rsid w:val="00214EAE"/>
    <w:rsid w:val="00223FC7"/>
    <w:rsid w:val="0025692B"/>
    <w:rsid w:val="00276BFD"/>
    <w:rsid w:val="0033035C"/>
    <w:rsid w:val="00355D73"/>
    <w:rsid w:val="003B64F7"/>
    <w:rsid w:val="0046734D"/>
    <w:rsid w:val="004A5FB9"/>
    <w:rsid w:val="00574F5E"/>
    <w:rsid w:val="005E5D1D"/>
    <w:rsid w:val="006A50D1"/>
    <w:rsid w:val="006E095B"/>
    <w:rsid w:val="007119FE"/>
    <w:rsid w:val="00756470"/>
    <w:rsid w:val="008B6B9B"/>
    <w:rsid w:val="00920F36"/>
    <w:rsid w:val="009F2702"/>
    <w:rsid w:val="00C82321"/>
    <w:rsid w:val="00CC3AB3"/>
    <w:rsid w:val="00CE3A79"/>
    <w:rsid w:val="00DA6497"/>
    <w:rsid w:val="00E62D92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4137"/>
  <w15:chartTrackingRefBased/>
  <w15:docId w15:val="{853D014E-A1EA-4693-87EB-9E493BE3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36"/>
    <w:pPr>
      <w:spacing w:line="25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paragraph" w:styleId="1">
    <w:name w:val="heading 1"/>
    <w:next w:val="a"/>
    <w:link w:val="10"/>
    <w:uiPriority w:val="9"/>
    <w:qFormat/>
    <w:rsid w:val="00574F5E"/>
    <w:pPr>
      <w:keepNext/>
      <w:keepLines/>
      <w:spacing w:after="0" w:line="271" w:lineRule="auto"/>
      <w:ind w:left="678" w:hanging="10"/>
      <w:jc w:val="center"/>
      <w:outlineLvl w:val="0"/>
    </w:pPr>
    <w:rPr>
      <w:rFonts w:eastAsia="Times New Roman" w:cs="Times New Roman"/>
      <w:b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20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920F36"/>
    <w:rPr>
      <w:rFonts w:ascii="Consolas" w:hAnsi="Consolas" w:cstheme="minorBidi"/>
      <w:color w:val="auto"/>
      <w:sz w:val="20"/>
      <w:szCs w:val="20"/>
      <w:lang w:val="ru-RU"/>
    </w:rPr>
  </w:style>
  <w:style w:type="character" w:customStyle="1" w:styleId="a3">
    <w:name w:val="Абзац списку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4"/>
    <w:uiPriority w:val="34"/>
    <w:qFormat/>
    <w:locked/>
    <w:rsid w:val="00920F36"/>
    <w:rPr>
      <w:lang w:val="ru-RU"/>
    </w:rPr>
  </w:style>
  <w:style w:type="paragraph" w:styleId="a4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"/>
    <w:link w:val="a3"/>
    <w:uiPriority w:val="34"/>
    <w:qFormat/>
    <w:rsid w:val="00920F36"/>
    <w:pPr>
      <w:ind w:left="720"/>
      <w:contextualSpacing/>
    </w:pPr>
    <w:rPr>
      <w:rFonts w:ascii="Times New Roman" w:hAnsi="Times New Roman" w:cs="Arial"/>
      <w:color w:val="000000"/>
      <w:sz w:val="24"/>
      <w:szCs w:val="21"/>
    </w:rPr>
  </w:style>
  <w:style w:type="paragraph" w:styleId="a5">
    <w:name w:val="No Spacing"/>
    <w:link w:val="a6"/>
    <w:qFormat/>
    <w:rsid w:val="00F90EAE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character" w:customStyle="1" w:styleId="a6">
    <w:name w:val="Без інтервалів Знак"/>
    <w:link w:val="a5"/>
    <w:locked/>
    <w:rsid w:val="00F90EAE"/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customStyle="1" w:styleId="Standard">
    <w:name w:val="Standard"/>
    <w:qFormat/>
    <w:rsid w:val="00F90EAE"/>
    <w:pPr>
      <w:suppressAutoHyphens/>
      <w:spacing w:after="0" w:line="240" w:lineRule="auto"/>
    </w:pPr>
    <w:rPr>
      <w:rFonts w:ascii="Arial" w:eastAsia="Arial" w:hAnsi="Arial" w:cs="Liberation Serif"/>
      <w:color w:val="auto"/>
      <w:kern w:val="2"/>
      <w:szCs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25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5692B"/>
    <w:rPr>
      <w:rFonts w:ascii="Segoe UI" w:hAnsi="Segoe UI" w:cs="Segoe UI"/>
      <w:color w:val="auto"/>
      <w:sz w:val="18"/>
      <w:szCs w:val="18"/>
      <w:lang w:val="ru-RU"/>
    </w:rPr>
  </w:style>
  <w:style w:type="table" w:styleId="a9">
    <w:name w:val="Table Grid"/>
    <w:basedOn w:val="a1"/>
    <w:uiPriority w:val="39"/>
    <w:rsid w:val="000B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0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74F5E"/>
    <w:rPr>
      <w:rFonts w:eastAsia="Times New Roman" w:cs="Times New Roman"/>
      <w:b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6319</Words>
  <Characters>3603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2023-11-20T11:59:00Z</dcterms:created>
  <dcterms:modified xsi:type="dcterms:W3CDTF">2024-02-09T13:33:00Z</dcterms:modified>
</cp:coreProperties>
</file>