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0" w:rsidRPr="00A3443D" w:rsidRDefault="00FB5390" w:rsidP="00A3443D">
      <w:pPr>
        <w:tabs>
          <w:tab w:val="left" w:pos="1845"/>
        </w:tabs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A3443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ДОДАТОК  2</w:t>
      </w:r>
    </w:p>
    <w:p w:rsidR="00FB5390" w:rsidRPr="00A3443D" w:rsidRDefault="00FB5390" w:rsidP="00A3443D">
      <w:pPr>
        <w:tabs>
          <w:tab w:val="left" w:pos="1845"/>
        </w:tabs>
        <w:spacing w:after="0" w:line="276" w:lineRule="auto"/>
        <w:jc w:val="right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A3443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r w:rsidRPr="00A3443D">
        <w:rPr>
          <w:rFonts w:ascii="Times New Roman" w:hAnsi="Times New Roman" w:cs="Times New Roman"/>
          <w:i/>
          <w:sz w:val="24"/>
          <w:szCs w:val="24"/>
          <w:lang w:val="uk-UA" w:eastAsia="uk-UA"/>
        </w:rPr>
        <w:t>до тендерної документації</w:t>
      </w:r>
      <w:r w:rsidR="00A3443D" w:rsidRPr="00A3443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в новій редакції</w:t>
      </w:r>
    </w:p>
    <w:p w:rsidR="00FB5390" w:rsidRDefault="00FB5390" w:rsidP="00FB5390">
      <w:pPr>
        <w:tabs>
          <w:tab w:val="left" w:pos="1845"/>
        </w:tabs>
        <w:spacing w:line="276" w:lineRule="auto"/>
        <w:jc w:val="right"/>
        <w:rPr>
          <w:i/>
          <w:sz w:val="24"/>
          <w:szCs w:val="24"/>
          <w:lang w:val="uk-UA" w:eastAsia="uk-UA"/>
        </w:rPr>
      </w:pPr>
    </w:p>
    <w:p w:rsidR="00FB5390" w:rsidRPr="00FB5390" w:rsidRDefault="00FB5390" w:rsidP="00FB5390">
      <w:pPr>
        <w:tabs>
          <w:tab w:val="left" w:pos="184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B5390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Інформація про необхідні технічні, якісні та кількісні характеристики предмета закупівлі- </w:t>
      </w:r>
    </w:p>
    <w:p w:rsidR="00831125" w:rsidRPr="00831125" w:rsidRDefault="00FB5390" w:rsidP="00FB5390">
      <w:pPr>
        <w:jc w:val="center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31125">
        <w:rPr>
          <w:rFonts w:ascii="Times New Roman" w:hAnsi="Times New Roman" w:cs="Times New Roman"/>
          <w:sz w:val="28"/>
          <w:szCs w:val="28"/>
          <w:lang w:val="uk-UA" w:eastAsia="ar-SA"/>
        </w:rPr>
        <w:t>ДК 021:2015</w:t>
      </w:r>
      <w:r w:rsidR="00975E3E" w:rsidRPr="00831125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831125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>34130000</w:t>
      </w:r>
      <w:r w:rsidR="00975E3E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-0: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Мототранспортні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вантажні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831125" w:rsidRPr="00831125">
        <w:rPr>
          <w:rFonts w:ascii="Times New Roman" w:hAnsi="Times New Roman" w:cs="Times New Roman"/>
          <w:bCs/>
          <w:sz w:val="28"/>
          <w:szCs w:val="28"/>
          <w:lang w:eastAsia="ar-SA"/>
        </w:rPr>
        <w:t>засоби</w:t>
      </w:r>
      <w:proofErr w:type="spellEnd"/>
      <w:r w:rsidR="00831125" w:rsidRPr="0083112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</w:p>
    <w:p w:rsidR="00FB5390" w:rsidRPr="004F05E6" w:rsidRDefault="00975E3E" w:rsidP="00FB5390">
      <w:pPr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F05E6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(</w:t>
      </w:r>
      <w:r w:rsidR="001941DA">
        <w:rPr>
          <w:rFonts w:ascii="Times New Roman" w:hAnsi="Times New Roman" w:cs="Times New Roman"/>
          <w:bCs/>
          <w:sz w:val="28"/>
          <w:szCs w:val="28"/>
          <w:u w:val="single"/>
          <w:lang w:val="uk-UA" w:eastAsia="ar-SA"/>
        </w:rPr>
        <w:t>Автомобіль для аварійно-монтажних робіт</w:t>
      </w:r>
      <w:r w:rsidRPr="004F05E6">
        <w:rPr>
          <w:rFonts w:ascii="Times New Roman" w:hAnsi="Times New Roman" w:cs="Times New Roman"/>
          <w:bCs/>
          <w:iCs/>
          <w:sz w:val="28"/>
          <w:szCs w:val="28"/>
          <w:u w:val="single"/>
          <w:lang w:val="uk-UA" w:eastAsia="ar-SA"/>
        </w:rPr>
        <w:t>)</w:t>
      </w:r>
    </w:p>
    <w:p w:rsidR="00724A4A" w:rsidRDefault="00724A4A" w:rsidP="00FB5390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724A4A" w:rsidRPr="00724A4A" w:rsidRDefault="00724A4A" w:rsidP="00724A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>ТЕХНІЧНІ,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4A4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ЯКІСНІ ТА КІЛЬКІСНІ ВИМОГИ ДО ПРЕДМЕТА ЗАКУПІВЛІ 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Запропонований товар повинен відповідати технічним, якісним та кількісним характеристикам до предмета закупівлі, встановленим Замовником в таблиці 1 та таблиці 2 Додатку №2 до тендерної документації або мати кращі характеристики</w:t>
      </w: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Якість товару повинна відповідати державним стандартам та/або технічним умовам, тощо для товарів даного типу. Товар, повинен бути технічно справним, комплектуючі та матеріали – такі, що не були у вживанні</w:t>
      </w:r>
    </w:p>
    <w:p w:rsidR="00724A4A" w:rsidRPr="00170C0F" w:rsidRDefault="00724A4A" w:rsidP="00724A4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Пропонований товар повинен бути новим (</w:t>
      </w:r>
      <w:r w:rsidR="001941DA"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2023 року виробництва) та таким, що раніше не експлуатувався і не використовувався на виставках, в тому числі у якості демонстраційного експонату, та умови його зберігання не були порушені, повинен бути в стандартному заводському виконанні, справним, готовим до експлуатації. </w:t>
      </w:r>
    </w:p>
    <w:p w:rsidR="0073658D" w:rsidRPr="00170C0F" w:rsidRDefault="0073658D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Транспортні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витрати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на поставку товару з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усіма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супутніми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послугами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здійснюються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0C0F">
        <w:rPr>
          <w:rFonts w:ascii="Times New Roman" w:eastAsia="Times New Roman" w:hAnsi="Times New Roman" w:cs="Times New Roman"/>
          <w:sz w:val="28"/>
          <w:szCs w:val="28"/>
        </w:rPr>
        <w:t>Постачальника</w:t>
      </w:r>
      <w:proofErr w:type="spellEnd"/>
      <w:r w:rsidRPr="0017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E3E" w:rsidRPr="00170C0F" w:rsidRDefault="00724A4A" w:rsidP="00975E3E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170C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При виявленні Замовником дефектів товару, будь-чого іншого, що може якимось чином вплинути на якісні характеристики товару, Постачальник повинен їх усунити за власний рахунок.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Arial"/>
          <w:color w:val="000000"/>
          <w:sz w:val="24"/>
          <w:szCs w:val="24"/>
          <w:lang w:val="uk-UA" w:eastAsia="ru-RU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75E3E" w:rsidRDefault="00975E3E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1A4899" w:rsidRDefault="001A4899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960701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4F05E6" w:rsidRDefault="004F05E6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24A4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ТЕХНІЧНА СПЕЦИФІКАЦІЯ</w:t>
      </w:r>
    </w:p>
    <w:p w:rsidR="00724A4A" w:rsidRPr="00724A4A" w:rsidRDefault="00724A4A" w:rsidP="00724A4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bookmarkStart w:id="0" w:name="_Hlk112849005"/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Запропонований Учасником </w:t>
      </w:r>
      <w:r w:rsidR="00975E3E" w:rsidRPr="00975E3E">
        <w:rPr>
          <w:rFonts w:ascii="Times New Roman" w:eastAsia="Calibri" w:hAnsi="Times New Roman" w:cs="Times New Roman"/>
          <w:sz w:val="24"/>
          <w:szCs w:val="24"/>
          <w:lang w:val="uk-UA"/>
        </w:rPr>
        <w:t>товар</w:t>
      </w:r>
      <w:r w:rsidRPr="00724A4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Pr="00724A4A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повинен мати наступні (або кращі) якісні та технічні характеристики , а саме:</w:t>
      </w:r>
    </w:p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1</w:t>
      </w:r>
    </w:p>
    <w:tbl>
      <w:tblPr>
        <w:tblW w:w="995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864"/>
      </w:tblGrid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2864" w:type="dxa"/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Відповідність</w:t>
            </w:r>
          </w:p>
          <w:p w:rsidR="00724A4A" w:rsidRPr="00724A4A" w:rsidRDefault="00724A4A" w:rsidP="00975E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9243" w:type="dxa"/>
            <w:gridSpan w:val="2"/>
            <w:tcMar>
              <w:left w:w="108" w:type="dxa"/>
            </w:tcMar>
            <w:vAlign w:val="center"/>
          </w:tcPr>
          <w:p w:rsidR="00724A4A" w:rsidRPr="00724A4A" w:rsidRDefault="00724A4A" w:rsidP="00FE6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 Загальні положення</w:t>
            </w:r>
          </w:p>
        </w:tc>
      </w:tr>
      <w:tr w:rsidR="00724A4A" w:rsidRPr="00724A4A" w:rsidTr="00975E3E">
        <w:trPr>
          <w:trHeight w:val="113"/>
        </w:trPr>
        <w:tc>
          <w:tcPr>
            <w:tcW w:w="709" w:type="dxa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Обсяг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закупівлі</w:t>
            </w:r>
            <w:proofErr w:type="spellEnd"/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- </w:t>
            </w:r>
            <w:r w:rsidR="008308DD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  <w:r w:rsidRPr="00724A4A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од.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724A4A" w:rsidRPr="00724A4A" w:rsidRDefault="00724A4A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E60AC" w:rsidRPr="00724A4A" w:rsidTr="00975E3E">
        <w:trPr>
          <w:trHeight w:val="113"/>
        </w:trPr>
        <w:tc>
          <w:tcPr>
            <w:tcW w:w="709" w:type="dxa"/>
          </w:tcPr>
          <w:p w:rsidR="00FE60AC" w:rsidRP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1.2.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FE60AC" w:rsidRP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Виробник товару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FE60AC" w:rsidRPr="00724A4A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FE60AC" w:rsidRPr="00724A4A" w:rsidTr="00975E3E">
        <w:trPr>
          <w:trHeight w:val="113"/>
        </w:trPr>
        <w:tc>
          <w:tcPr>
            <w:tcW w:w="709" w:type="dxa"/>
          </w:tcPr>
          <w:p w:rsid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1.3</w:t>
            </w:r>
          </w:p>
        </w:tc>
        <w:tc>
          <w:tcPr>
            <w:tcW w:w="6379" w:type="dxa"/>
            <w:tcBorders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FE60AC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2864" w:type="dxa"/>
            <w:tcBorders>
              <w:left w:val="single" w:sz="4" w:space="0" w:color="auto"/>
            </w:tcBorders>
            <w:vAlign w:val="center"/>
          </w:tcPr>
          <w:p w:rsidR="00FE60AC" w:rsidRPr="00724A4A" w:rsidRDefault="00FE60AC" w:rsidP="00724A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724A4A" w:rsidRPr="00724A4A" w:rsidRDefault="00724A4A" w:rsidP="00724A4A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724A4A" w:rsidRPr="00724A4A" w:rsidRDefault="00724A4A" w:rsidP="00724A4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highlight w:val="yellow"/>
          <w:lang w:val="uk-UA" w:eastAsia="zh-CN" w:bidi="hi-IN"/>
        </w:rPr>
      </w:pPr>
      <w:r w:rsidRPr="00724A4A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uk-UA" w:eastAsia="zh-CN" w:bidi="hi-IN"/>
        </w:rPr>
        <w:t>Таблиця 2</w:t>
      </w:r>
    </w:p>
    <w:tbl>
      <w:tblPr>
        <w:tblpPr w:leftFromText="180" w:rightFromText="180" w:vertAnchor="text" w:tblpX="-52" w:tblpY="1"/>
        <w:tblOverlap w:val="never"/>
        <w:tblW w:w="9918" w:type="dxa"/>
        <w:tblLayout w:type="fixed"/>
        <w:tblLook w:val="00A0" w:firstRow="1" w:lastRow="0" w:firstColumn="1" w:lastColumn="0" w:noHBand="0" w:noVBand="0"/>
      </w:tblPr>
      <w:tblGrid>
        <w:gridCol w:w="709"/>
        <w:gridCol w:w="3225"/>
        <w:gridCol w:w="3291"/>
        <w:gridCol w:w="2693"/>
      </w:tblGrid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Технічні параметри</w:t>
            </w:r>
          </w:p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(Технічні характеристики, які вимагаються Замовником)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Технічні характерист</w:t>
            </w:r>
            <w:r w:rsidR="001410C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  <w:t>ики, які пропонуються Учасником</w:t>
            </w:r>
          </w:p>
          <w:p w:rsidR="00724A4A" w:rsidRPr="00724A4A" w:rsidRDefault="00724A4A" w:rsidP="00975E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(Зазначити значення)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Тип кузову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вантажопасажирський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 w:eastAsia="ar-SA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Колісна база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Середня колісна база 3450 мм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Дах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Середній Н2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місць включаючи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вказати</w:t>
            </w:r>
            <w:proofErr w:type="spellEnd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Повна маса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Максимально допустиме навантаження на передній міст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Максимально допустиме навантаження на задній міст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Двигун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DW12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3763E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63E" w:rsidRDefault="007D3E10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63E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Тип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3E" w:rsidRPr="0073763E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Дизельний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3E" w:rsidRPr="00724A4A" w:rsidRDefault="007376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73763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3763E" w:rsidRDefault="00A3443D" w:rsidP="0073763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E283E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Кількість та розташування циліндрів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4, рядне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D3E10" w:rsidRDefault="00A3443D" w:rsidP="007D3E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Робочий об’єм (см)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2179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D3E10" w:rsidRDefault="00A3443D" w:rsidP="007D3E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Ступінь стиснення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E283E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16, 0:1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3763E" w:rsidRDefault="00A3443D" w:rsidP="007D3E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6E283E" w:rsidP="00724A4A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Максимальна потужність ЕС: кВт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к.с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.) при об/хв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6E283E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103 (140)3750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3763E" w:rsidRDefault="00A3443D" w:rsidP="007D3E1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4A4A" w:rsidRPr="006E283E" w:rsidRDefault="006E283E" w:rsidP="006F4F3F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Макимальний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крутний момент, по ЕС: </w:t>
            </w:r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Нм (</w:t>
            </w:r>
            <w:proofErr w:type="spellStart"/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кгм</w:t>
            </w:r>
            <w:proofErr w:type="spellEnd"/>
            <w:r w:rsidR="006F4F3F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) при об/хв.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A4A" w:rsidRPr="006F4F3F" w:rsidRDefault="006F4F3F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340 (34.67) 1750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4A4A" w:rsidRPr="0073763E" w:rsidRDefault="00A3443D" w:rsidP="007D3E10">
            <w:pPr>
              <w:widowControl w:val="0"/>
              <w:shd w:val="clear" w:color="auto" w:fill="FFFFFF"/>
              <w:tabs>
                <w:tab w:val="left" w:pos="1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724A4A" w:rsidRDefault="006F4F3F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Екологічний рівень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24A4A"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4A" w:rsidRPr="006F4F3F" w:rsidRDefault="006F4F3F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Euro 5+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3763E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6F4F3F" w:rsidRDefault="006F4F3F" w:rsidP="006F4F3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F26FD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Систем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а подачі палива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Common</w:t>
            </w:r>
            <w:r w:rsidRPr="0075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Rail</w:t>
            </w:r>
            <w:r w:rsidRPr="0075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з електронним управлінням безпосереднього впорскування та турбонагнітачам та проміжним охолоджувачем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51E99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Система запалювання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 допомогою стиснення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831125" w:rsidP="00724A4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Привід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 передню вісь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19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51E99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ab/>
            </w:r>
            <w:r w:rsidR="00751E99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Зчеплення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однодискове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гідроприводом вимкнення</w:t>
            </w:r>
          </w:p>
          <w:p w:rsidR="00751E99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Коробка передач: кількість ступенів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механічне 6 + задня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  <w:tab w:val="left" w:pos="294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Шини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215/75/16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маса причепа, що буксирується (з гальмами) (кг)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51E99" w:rsidRDefault="00751E99" w:rsidP="008308DD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вказати</w:t>
            </w:r>
            <w:proofErr w:type="spellEnd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24A4A"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значення</w:t>
            </w:r>
            <w:proofErr w:type="spellEnd"/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Місткість паливного бака (л)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51E9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90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опціонально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125л)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F26FD9" w:rsidRDefault="00751E99" w:rsidP="008308DD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Споживання палива 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WLTP</w:t>
            </w:r>
            <w:r w:rsidR="00F26FD9"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="00F26FD9"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>/100</w:t>
            </w:r>
            <w:r w:rsidR="00F26FD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км)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8,1-8,7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24A4A" w:rsidRPr="00F26FD9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Викиди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WLTP</w:t>
            </w:r>
            <w:r w:rsidRPr="00F26F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(г/км)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211-228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F26FD9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швидкість (км/год)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F26FD9" w:rsidP="00724A4A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37"/>
              </w:tabs>
              <w:suppressAutoHyphens/>
              <w:autoSpaceDE w:val="0"/>
              <w:autoSpaceDN w:val="0"/>
              <w:spacing w:after="0" w:line="240" w:lineRule="auto"/>
              <w:ind w:right="115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170C0F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Гальмівна система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</w:t>
            </w:r>
          </w:p>
          <w:p w:rsidR="00FE60AC" w:rsidRPr="00F26FD9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Система розподілу гальмівних зусиль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EBD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Pr="00F26FD9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Подушка безпеки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Подушка безпеки пасажирів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D3E10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="005629C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дільна перегородка вантажного відсіку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Гідропідсилювач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керма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 датчики наявності пішоходів з звуковим сигналом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Кондиціонер з ручним регулюванням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Зовнішні дзеркала заднього виду з електроприводом і обігрівом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Підлокитник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сидіння водія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Суцільна роздільна перегородка вантажного відсіку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Підголівники сидіння водія та пасажирів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Двомісне пасажирське переднє сидіння з пасками безпеки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Електронна система курсової стійкості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Задні датчики паркування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D3E10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1B2A55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Двостулкові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розпашні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незасклені задні двері, що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відкриваються на 180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lastRenderedPageBreak/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Денні ходові вогні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985A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Тканинне оздоблення салону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Петлі для кріплення вантажів у багажному відділенні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CA07E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45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Паливний бак 90л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46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Тримач запасного колеса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47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A0550D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Підігрів трубки відведення картерних газів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BLOW</w:t>
            </w:r>
            <w:r w:rsidRPr="00A055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A0550D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Запасне колесо стандартного розміру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49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Генератор 180А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D3E10" w:rsidRDefault="00170C0F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50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Решітка радіатору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51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Пристрій обмеження швидкості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FE60AC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24A4A" w:rsidRDefault="009A7A52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52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0AC" w:rsidRPr="0073763E" w:rsidRDefault="00FE60AC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Обігрівач</w:t>
            </w:r>
            <w:r w:rsidR="00A344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763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Webasto</w:t>
            </w:r>
            <w:proofErr w:type="spellEnd"/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54073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0AC" w:rsidRDefault="00FE60AC" w:rsidP="00FE60AC">
            <w:r w:rsidRPr="0005159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A3443D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3D" w:rsidRPr="007D3E10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53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3D" w:rsidRDefault="00A3443D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 сидіння на другому ряді сидінь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D" w:rsidRPr="00540734" w:rsidRDefault="00E13B86" w:rsidP="00FE60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D" w:rsidRPr="0005159F" w:rsidRDefault="00E13B86" w:rsidP="00FE60AC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13B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A3443D" w:rsidRPr="001B2A55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3D" w:rsidRPr="009A7A52" w:rsidRDefault="00A3443D" w:rsidP="007D3E10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2.</w:t>
            </w:r>
            <w:r w:rsidR="007D3E10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54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43D" w:rsidRDefault="00A3443D" w:rsidP="00FE60AC">
            <w:pPr>
              <w:widowControl w:val="0"/>
              <w:shd w:val="clear" w:color="auto" w:fill="FFFFFF"/>
              <w:suppressAutoHyphens/>
              <w:autoSpaceDE w:val="0"/>
              <w:autoSpaceDN w:val="0"/>
              <w:spacing w:after="0" w:line="240" w:lineRule="auto"/>
              <w:ind w:left="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Вікна для другого ряду </w:t>
            </w:r>
            <w:r w:rsidR="00E13B8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сидінь з відкриваючими квартирками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D" w:rsidRPr="00540734" w:rsidRDefault="00E13B86" w:rsidP="00FE60A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комплекті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3D" w:rsidRPr="0005159F" w:rsidRDefault="00E13B86" w:rsidP="00FE60AC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E13B8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  <w:tr w:rsidR="00724A4A" w:rsidRPr="00724A4A" w:rsidTr="00724A4A">
        <w:trPr>
          <w:trHeight w:val="113"/>
        </w:trPr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3. </w:t>
            </w:r>
            <w:r w:rsidRPr="00724A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Організаційні положення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24A4A" w:rsidRPr="00724A4A" w:rsidTr="00724A4A">
        <w:trPr>
          <w:trHeight w:val="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A4A" w:rsidRPr="00724A4A" w:rsidRDefault="00724A4A" w:rsidP="00724A4A">
            <w:pPr>
              <w:widowControl w:val="0"/>
              <w:tabs>
                <w:tab w:val="left" w:pos="82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</w:pPr>
            <w:r w:rsidRPr="00724A4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ar-SA"/>
              </w:rPr>
              <w:t>3.1</w:t>
            </w:r>
          </w:p>
        </w:tc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F26FD9" w:rsidP="00724A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Гарантія на автомобіль – 2 роки без обмеження по пробігу, на кузов від наскрізної корозії -</w:t>
            </w:r>
            <w:r w:rsidR="002B416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 років, на лакофарбове покриття кузова – 3 роки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A4A" w:rsidRPr="00724A4A" w:rsidRDefault="00724A4A" w:rsidP="00724A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24A4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вказати значення</w:t>
            </w:r>
          </w:p>
        </w:tc>
      </w:tr>
    </w:tbl>
    <w:p w:rsidR="004A0779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Примітка: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У місцях, де технічна специфікація містить</w:t>
      </w:r>
      <w:r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посилання на конкретні марку чи виробника або на конкретний процес, що характеризує </w:t>
      </w:r>
      <w:r w:rsidR="00617290" w:rsidRP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«або еквівалент»</w:t>
      </w:r>
      <w:r w:rsidR="0061729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617290" w:rsidRPr="00617290" w:rsidRDefault="00617290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724A4A" w:rsidRDefault="004A0779" w:rsidP="004A07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A07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proofErr w:type="spellStart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>Місце</w:t>
      </w:r>
      <w:proofErr w:type="spellEnd"/>
      <w:r w:rsidRPr="004A077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поставки товару:</w:t>
      </w:r>
      <w:r w:rsidRPr="00B4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м. Коростень,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Житомирська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 xml:space="preserve">. Шевченка,8а,  </w:t>
      </w:r>
      <w:proofErr w:type="spellStart"/>
      <w:r w:rsidRPr="00B70857">
        <w:rPr>
          <w:rFonts w:ascii="Times New Roman" w:eastAsia="Times New Roman" w:hAnsi="Times New Roman" w:cs="Times New Roman"/>
          <w:sz w:val="24"/>
          <w:szCs w:val="24"/>
        </w:rPr>
        <w:t>Україна</w:t>
      </w:r>
      <w:proofErr w:type="spellEnd"/>
      <w:r w:rsidRPr="00B70857">
        <w:rPr>
          <w:rFonts w:ascii="Times New Roman" w:eastAsia="Times New Roman" w:hAnsi="Times New Roman" w:cs="Times New Roman"/>
          <w:sz w:val="24"/>
          <w:szCs w:val="24"/>
        </w:rPr>
        <w:t>, 11500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A0779" w:rsidRPr="004A0779" w:rsidRDefault="004A0779" w:rsidP="004A077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ar-SA"/>
        </w:rPr>
        <w:t>2. Строк поставки товару:</w:t>
      </w:r>
      <w:r w:rsidRPr="004A0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заявки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2C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5D4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proofErr w:type="spellEnd"/>
    </w:p>
    <w:bookmarkEnd w:id="0"/>
    <w:p w:rsidR="00B929D9" w:rsidRDefault="00B929D9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617290" w:rsidRDefault="00617290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Учасник у складі пропозиції повинен надати</w:t>
      </w:r>
      <w:r w:rsidR="004F397C" w:rsidRPr="004F397C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:</w:t>
      </w:r>
    </w:p>
    <w:p w:rsidR="001A4899" w:rsidRPr="00960701" w:rsidRDefault="001A4899" w:rsidP="0096070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д</w:t>
      </w:r>
      <w:r w:rsidRPr="001A4899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ля підтвердження відповідності тендерної пропозиції учасника технічним, якісним, кількісним вимогам щодо предмета закупівлі, учасник у складі тендерної пропозиції надає технічну специфікацію, складену згідно таблиць 1 та 2 Додатку №2 тендерної документації.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копію сертифіката відповідності системи управління якістю у виробництві вимогам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 або ДСТУ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9001:2018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9001:2015, 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IDT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), або національних стандартів, якими їх замінено, виданого акредитованим органом з оцінки відповідності;</w:t>
      </w:r>
    </w:p>
    <w:p w:rsidR="004F397C" w:rsidRPr="004F397C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сертифікат відповідності транспортних засобів або обладнання чи сертифікат відповідності щодо індивідуального затвердження, в якому зазначено 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ідентифікаційний номер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VIN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 колісного транспортного засобу з його міжнародним ідентифікаційним кодом (</w:t>
      </w:r>
      <w:r w:rsidRPr="004F397C">
        <w:rPr>
          <w:rFonts w:ascii="Times New Roman" w:eastAsia="Times New Roman" w:hAnsi="Times New Roman" w:cs="Times New Roman"/>
          <w:sz w:val="24"/>
          <w:szCs w:val="24"/>
        </w:rPr>
        <w:t>WMI</w:t>
      </w:r>
      <w:r w:rsidRPr="004F397C">
        <w:rPr>
          <w:rFonts w:ascii="Times New Roman" w:eastAsia="Times New Roman" w:hAnsi="Times New Roman" w:cs="Times New Roman"/>
          <w:sz w:val="24"/>
          <w:szCs w:val="24"/>
          <w:lang w:val="uk-UA"/>
        </w:rPr>
        <w:t>) виробника колісного транспортного засобу в Україні та місцезнаходження виробника колісного транспортного засобу в Україні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4F397C" w:rsidRPr="006E50AD" w:rsidRDefault="004F397C" w:rsidP="004F397C">
      <w:pPr>
        <w:pStyle w:val="a5"/>
        <w:widowControl w:val="0"/>
        <w:numPr>
          <w:ilvl w:val="0"/>
          <w:numId w:val="5"/>
        </w:numPr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підтвердження поставки товару в строки, визначені тендерною документацію (у разі обрання учасника переможцем торгів та укладення договору)</w:t>
      </w:r>
      <w:r w:rsidR="006E50AD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E50AD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6E50AD" w:rsidRPr="004F05E6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Постачальник при поставці автомобіля повинен надати документи для реєстрації товару в </w:t>
      </w:r>
      <w:r w:rsidR="004F05E6" w:rsidRPr="004F05E6">
        <w:rPr>
          <w:rFonts w:ascii="Times New Roman" w:eastAsia="Calibri" w:hAnsi="Times New Roman" w:cs="Times New Roman"/>
          <w:sz w:val="24"/>
          <w:szCs w:val="24"/>
          <w:lang w:val="uk-UA"/>
        </w:rPr>
        <w:t>Сервісному центрі МВС України</w:t>
      </w:r>
      <w:r w:rsidR="004F05E6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Всі написи на елементах керування обладнання (піктограми) повинні бути виконані українською мовою.</w:t>
      </w:r>
    </w:p>
    <w:p w:rsidR="006E50AD" w:rsidRPr="001A4E41" w:rsidRDefault="006E50AD" w:rsidP="006E50AD">
      <w:pPr>
        <w:widowControl w:val="0"/>
        <w:shd w:val="clear" w:color="auto" w:fill="FFFFFF" w:themeFill="background1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A4E41">
        <w:rPr>
          <w:rFonts w:ascii="Times New Roman" w:eastAsia="Calibri" w:hAnsi="Times New Roman" w:cs="Times New Roman"/>
          <w:sz w:val="24"/>
          <w:szCs w:val="24"/>
          <w:lang w:val="uk-UA"/>
        </w:rPr>
        <w:t>Вся технічна документація на машину повинна бути українською мовою.</w:t>
      </w:r>
    </w:p>
    <w:p w:rsidR="004F397C" w:rsidRPr="001A4E41" w:rsidRDefault="004F397C" w:rsidP="004A077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2040C" w:rsidRPr="00E456F5" w:rsidRDefault="00B929D9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45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Вимоги щодо локалізації</w:t>
      </w:r>
    </w:p>
    <w:p w:rsidR="0022040C" w:rsidRPr="00170C0F" w:rsidRDefault="0022040C" w:rsidP="00170C0F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Пунктом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 тимчасово, з 2022 року строком на 10 років, встановлюються такі особливості здійснення закупівель, якщо вартість предмета закупівлі дорівнює або перевищує 200 тисяч гривень: замовник здійснює закупівлю товарів, визначених підпунктом 2 пункту 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 xml:space="preserve">1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Розділу Х “Прикінцеві та перехідні положення” Закону України “Про публічні закупівлі”, 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а саме: ДК 021:2015 </w:t>
      </w:r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ДК 021:2015 34130000-0: </w:t>
      </w:r>
      <w:proofErr w:type="spellStart"/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М</w:t>
      </w:r>
      <w:r w:rsid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ототранспортні</w:t>
      </w:r>
      <w:proofErr w:type="spellEnd"/>
      <w:r w:rsid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вантажні засоби </w:t>
      </w:r>
      <w:r w:rsidR="00170C0F" w:rsidRPr="00170C0F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>(Автомобіль для аварійно-монтажних робіт)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Pr="0022040C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ar-SA"/>
        </w:rPr>
        <w:t xml:space="preserve">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виключно якщо їх ступінь локалізації виробництва дорівнює чи перевищує зокрема у 2023 році - 15 відсотків. </w:t>
      </w:r>
    </w:p>
    <w:p w:rsidR="0022040C" w:rsidRDefault="0022040C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ab/>
        <w:t xml:space="preserve">Згідно з абзацом 9 підпункту 1 пункту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</w:t>
      </w:r>
      <w:r w:rsidR="001A4E41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тупінь локалізації виробництва визначається самостійно виробником товару, що є предметом закупівлі, та підтверджується Уповноваженим органом у</w:t>
      </w:r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anchor="n10" w:tgtFrame="_blank" w:history="1">
        <w:r w:rsidR="001A4E41" w:rsidRPr="001A4E41">
          <w:rPr>
            <w:rStyle w:val="a6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  <w:lang w:val="uk-UA"/>
          </w:rPr>
          <w:t>порядку</w:t>
        </w:r>
      </w:hyperlink>
      <w:r w:rsidR="001A4E41" w:rsidRP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встановленому Кабінетом Міністрів України</w:t>
      </w:r>
      <w:r w:rsidR="001A4E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</w:p>
    <w:p w:rsidR="001A4E41" w:rsidRDefault="001A4E41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>Таким порядком є Порядок підтвердження ступеня локалізації виробництва товарів, затверджений постановою КМУ від 2 серпня 2022 р. №861</w:t>
      </w:r>
      <w:r w:rsidR="00CD4A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(із змінами).</w:t>
      </w:r>
    </w:p>
    <w:p w:rsid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ab/>
        <w:t xml:space="preserve">З метою дотримання норм п. 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6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val="uk-UA"/>
        </w:rPr>
        <w:t>1</w:t>
      </w:r>
      <w:r w:rsidRPr="0022040C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 України “Про публічні закупівлі”,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учасник у складі тендерної пропозиції має надати довідку у довільній формі із зазначенням найменування товару, назви виробника та 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</w:rPr>
        <w:t>ID</w:t>
      </w:r>
      <w:r w:rsidRPr="00CD4A97">
        <w:rPr>
          <w:rFonts w:ascii="Times New Roman" w:hAnsi="Times New Roman" w:cs="Times New Roman"/>
          <w:b/>
          <w:i/>
          <w:color w:val="0E1D2F"/>
          <w:sz w:val="24"/>
          <w:szCs w:val="24"/>
          <w:u w:val="single"/>
          <w:shd w:val="clear" w:color="auto" w:fill="FFFFFF"/>
          <w:lang w:val="uk-UA"/>
        </w:rPr>
        <w:t xml:space="preserve"> товару, який присвоєно електронною системою закупівель.</w:t>
      </w:r>
      <w:r w:rsidRPr="00CD4A97"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 xml:space="preserve"> 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Замовник самостійно перевіряє інформацію щодо ступеня локалізації виробництва товару, який є предметом закупівлі у переліку товарів, що є предметом закупівлі, з підтвердженим ступенем локалізації за посиланням: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</w:rPr>
        <w:t> </w:t>
      </w:r>
    </w:p>
    <w:p w:rsidR="00CD4A97" w:rsidRDefault="007D3E10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</w:pPr>
      <w:hyperlink r:id="rId6" w:history="1"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://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prozorro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gov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.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ua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search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/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products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?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local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_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share</w:t>
        </w:r>
        <w:r w:rsidR="00CD4A97" w:rsidRPr="009A4E5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=15</w:t>
        </w:r>
      </w:hyperlink>
    </w:p>
    <w:p w:rsidR="00CD4A97" w:rsidRPr="00CD4A97" w:rsidRDefault="00CD4A97" w:rsidP="0022040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hAnsi="Arial" w:cs="Arial"/>
          <w:color w:val="0E1D2F"/>
          <w:sz w:val="20"/>
          <w:szCs w:val="20"/>
          <w:shd w:val="clear" w:color="auto" w:fill="FFFFFF"/>
          <w:lang w:val="uk-UA"/>
        </w:rPr>
        <w:tab/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У разі відсутності товару запропонованого учасником процедури закупівлі у відповідному переліку або у разі, якщо ступінь локалізації товару є меншим ніж 1</w:t>
      </w:r>
      <w:r w:rsidR="00EB737C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>5</w:t>
      </w:r>
      <w:r w:rsidRPr="00CD4A97">
        <w:rPr>
          <w:rFonts w:ascii="Times New Roman" w:hAnsi="Times New Roman" w:cs="Times New Roman"/>
          <w:color w:val="0E1D2F"/>
          <w:sz w:val="24"/>
          <w:szCs w:val="24"/>
          <w:shd w:val="clear" w:color="auto" w:fill="FFFFFF"/>
          <w:lang w:val="uk-UA"/>
        </w:rPr>
        <w:t xml:space="preserve"> відсотків, замовник відхиляє тендерну пропозицію учасника на підставі абзацу 3 частини 1 статті 31 Закону, а саме: не відповідає встановленим абзацом 1 частини 3 статті 22 цього Закону вимогам до учасника відповідно до законодавства.</w:t>
      </w:r>
    </w:p>
    <w:p w:rsidR="0022040C" w:rsidRPr="00B929D9" w:rsidRDefault="0022040C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B929D9" w:rsidRPr="004A0779" w:rsidRDefault="00B929D9" w:rsidP="00B929D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sectPr w:rsidR="00B929D9" w:rsidRPr="004A0779" w:rsidSect="00FB53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12FD"/>
    <w:multiLevelType w:val="hybridMultilevel"/>
    <w:tmpl w:val="333864EC"/>
    <w:lvl w:ilvl="0" w:tplc="189451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E3037"/>
    <w:multiLevelType w:val="hybridMultilevel"/>
    <w:tmpl w:val="CD92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EDD"/>
    <w:multiLevelType w:val="hybridMultilevel"/>
    <w:tmpl w:val="0D8AD346"/>
    <w:lvl w:ilvl="0" w:tplc="CB8C73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725"/>
    <w:multiLevelType w:val="hybridMultilevel"/>
    <w:tmpl w:val="6F30FD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7814EB"/>
    <w:multiLevelType w:val="hybridMultilevel"/>
    <w:tmpl w:val="2B84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795C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007C"/>
    <w:rsid w:val="001410CA"/>
    <w:rsid w:val="00170C0F"/>
    <w:rsid w:val="001941DA"/>
    <w:rsid w:val="001A4899"/>
    <w:rsid w:val="001A4E41"/>
    <w:rsid w:val="001B2A55"/>
    <w:rsid w:val="0022040C"/>
    <w:rsid w:val="0029427B"/>
    <w:rsid w:val="002B4166"/>
    <w:rsid w:val="003F050B"/>
    <w:rsid w:val="004A0779"/>
    <w:rsid w:val="004F05E6"/>
    <w:rsid w:val="004F397C"/>
    <w:rsid w:val="005629C9"/>
    <w:rsid w:val="0058007C"/>
    <w:rsid w:val="00617290"/>
    <w:rsid w:val="006217B4"/>
    <w:rsid w:val="006E283E"/>
    <w:rsid w:val="006E50AD"/>
    <w:rsid w:val="006F4F3F"/>
    <w:rsid w:val="00724A4A"/>
    <w:rsid w:val="0073658D"/>
    <w:rsid w:val="0073763E"/>
    <w:rsid w:val="00751E99"/>
    <w:rsid w:val="007D3E10"/>
    <w:rsid w:val="007F7A5C"/>
    <w:rsid w:val="008308DD"/>
    <w:rsid w:val="00831125"/>
    <w:rsid w:val="008F392B"/>
    <w:rsid w:val="0092264C"/>
    <w:rsid w:val="00960701"/>
    <w:rsid w:val="00975E3E"/>
    <w:rsid w:val="009A7A52"/>
    <w:rsid w:val="00A0550D"/>
    <w:rsid w:val="00A158E5"/>
    <w:rsid w:val="00A3443D"/>
    <w:rsid w:val="00A7211F"/>
    <w:rsid w:val="00B75003"/>
    <w:rsid w:val="00B929D9"/>
    <w:rsid w:val="00BB02BA"/>
    <w:rsid w:val="00BC1903"/>
    <w:rsid w:val="00C14B11"/>
    <w:rsid w:val="00CD4A97"/>
    <w:rsid w:val="00D03866"/>
    <w:rsid w:val="00DA58EA"/>
    <w:rsid w:val="00E13B86"/>
    <w:rsid w:val="00E456F5"/>
    <w:rsid w:val="00EB737C"/>
    <w:rsid w:val="00F26FD9"/>
    <w:rsid w:val="00FB5390"/>
    <w:rsid w:val="00FE60AC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7AD9"/>
  <w15:docId w15:val="{430EAF23-1A39-4272-8F3B-C52CA953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11"/>
  </w:style>
  <w:style w:type="paragraph" w:styleId="2">
    <w:name w:val="heading 2"/>
    <w:basedOn w:val="a"/>
    <w:link w:val="20"/>
    <w:uiPriority w:val="9"/>
    <w:qFormat/>
    <w:rsid w:val="00B92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A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75E3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10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92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search/products?local_share=15" TargetMode="External"/><Relationship Id="rId5" Type="http://schemas.openxmlformats.org/officeDocument/2006/relationships/hyperlink" Target="https://zakon.rada.gov.ua/laws/show/861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2023-10-24T12:29:00Z</cp:lastPrinted>
  <dcterms:created xsi:type="dcterms:W3CDTF">2023-09-09T13:49:00Z</dcterms:created>
  <dcterms:modified xsi:type="dcterms:W3CDTF">2023-10-30T13:46:00Z</dcterms:modified>
</cp:coreProperties>
</file>