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AD" w:rsidRDefault="00EB73AD" w:rsidP="00EB73AD">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№3</w:t>
      </w:r>
    </w:p>
    <w:p w:rsidR="00EB73AD" w:rsidRDefault="00EB73AD" w:rsidP="00EB73AD">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EB73AD" w:rsidRDefault="00EB73AD" w:rsidP="00EB73AD">
      <w:pPr>
        <w:tabs>
          <w:tab w:val="left" w:pos="142"/>
        </w:tabs>
        <w:spacing w:after="0" w:line="240" w:lineRule="auto"/>
        <w:jc w:val="right"/>
        <w:rPr>
          <w:rFonts w:ascii="Times New Roman" w:eastAsia="Times New Roman" w:hAnsi="Times New Roman" w:cs="Times New Roman"/>
          <w:b/>
          <w:bCs/>
          <w:sz w:val="24"/>
          <w:szCs w:val="24"/>
          <w:lang w:val="uk-UA"/>
        </w:rPr>
      </w:pPr>
    </w:p>
    <w:p w:rsidR="00EB73AD" w:rsidRDefault="00EB73AD" w:rsidP="00EB73AD">
      <w:pPr>
        <w:spacing w:after="0" w:line="240" w:lineRule="auto"/>
        <w:jc w:val="both"/>
        <w:rPr>
          <w:rFonts w:ascii="Times New Roman" w:eastAsia="Calibri" w:hAnsi="Times New Roman" w:cs="Times New Roman"/>
          <w:lang w:val="uk-UA"/>
        </w:rPr>
      </w:pPr>
    </w:p>
    <w:p w:rsidR="00EB73AD" w:rsidRDefault="00EB73AD" w:rsidP="00EB73A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tbl>
      <w:tblPr>
        <w:tblW w:w="0" w:type="auto"/>
        <w:tblLook w:val="04A0" w:firstRow="1" w:lastRow="0" w:firstColumn="1" w:lastColumn="0" w:noHBand="0" w:noVBand="1"/>
      </w:tblPr>
      <w:tblGrid>
        <w:gridCol w:w="4721"/>
        <w:gridCol w:w="4850"/>
      </w:tblGrid>
      <w:tr w:rsidR="00EB73AD" w:rsidTr="003E58BD">
        <w:tc>
          <w:tcPr>
            <w:tcW w:w="4721" w:type="dxa"/>
            <w:hideMark/>
          </w:tcPr>
          <w:p w:rsidR="00EB73AD" w:rsidRDefault="00EB73AD" w:rsidP="003E58B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4850" w:type="dxa"/>
            <w:hideMark/>
          </w:tcPr>
          <w:p w:rsidR="00EB73AD" w:rsidRDefault="00EB73AD" w:rsidP="003E58BD">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EB73AD" w:rsidRDefault="00EB73AD" w:rsidP="00EB73AD">
      <w:pPr>
        <w:jc w:val="both"/>
        <w:rPr>
          <w:rFonts w:ascii="Times New Roman" w:eastAsia="Calibri" w:hAnsi="Times New Roman" w:cs="Times New Roman"/>
          <w:sz w:val="24"/>
          <w:szCs w:val="24"/>
        </w:rPr>
      </w:pPr>
    </w:p>
    <w:p w:rsidR="00EB73AD" w:rsidRDefault="00EB73AD" w:rsidP="00EB73AD">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EB73AD" w:rsidRDefault="00EB73AD" w:rsidP="00EB73AD">
      <w:pPr>
        <w:numPr>
          <w:ilvl w:val="0"/>
          <w:numId w:val="1"/>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EB73AD" w:rsidRDefault="00EB73AD" w:rsidP="00EB73AD">
      <w:pPr>
        <w:tabs>
          <w:tab w:val="num" w:pos="0"/>
        </w:tabs>
        <w:spacing w:after="0" w:line="240" w:lineRule="auto"/>
        <w:jc w:val="both"/>
        <w:rPr>
          <w:rFonts w:ascii="Times New Roman" w:eastAsia="MS Mincho" w:hAnsi="Times New Roman" w:cs="Times New Roman"/>
          <w:sz w:val="24"/>
          <w:szCs w:val="24"/>
        </w:rPr>
      </w:pPr>
    </w:p>
    <w:p w:rsidR="00EB73AD" w:rsidRDefault="00EB73AD" w:rsidP="00EB73A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EB73AD" w:rsidRDefault="00EB73AD" w:rsidP="00EB73AD">
      <w:pPr>
        <w:tabs>
          <w:tab w:val="num" w:pos="0"/>
        </w:tabs>
        <w:spacing w:after="0" w:line="240" w:lineRule="auto"/>
        <w:jc w:val="both"/>
        <w:rPr>
          <w:rFonts w:ascii="Times New Roman" w:eastAsia="MS Mincho" w:hAnsi="Times New Roman" w:cs="Times New Roman"/>
          <w:sz w:val="24"/>
          <w:szCs w:val="24"/>
        </w:rPr>
      </w:pPr>
    </w:p>
    <w:p w:rsidR="00EB73AD" w:rsidRDefault="00EB73AD" w:rsidP="00EB73A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EB73AD" w:rsidRDefault="00EB73AD" w:rsidP="00EB73A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EB73AD" w:rsidRDefault="00EB73AD" w:rsidP="00EB73AD">
      <w:pPr>
        <w:tabs>
          <w:tab w:val="num" w:pos="0"/>
        </w:tabs>
        <w:spacing w:after="0" w:line="240" w:lineRule="auto"/>
        <w:jc w:val="both"/>
        <w:rPr>
          <w:rFonts w:ascii="Times New Roman" w:eastAsia="Calibri" w:hAnsi="Times New Roman" w:cs="Times New Roman"/>
          <w:sz w:val="24"/>
          <w:szCs w:val="24"/>
        </w:rPr>
      </w:pPr>
    </w:p>
    <w:p w:rsidR="00EB73AD" w:rsidRDefault="00EB73AD" w:rsidP="00EB73AD">
      <w:pPr>
        <w:numPr>
          <w:ilvl w:val="0"/>
          <w:numId w:val="2"/>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EB73AD" w:rsidRDefault="00EB73AD" w:rsidP="00EB73AD">
      <w:pPr>
        <w:spacing w:after="0" w:line="240" w:lineRule="auto"/>
        <w:jc w:val="both"/>
        <w:rPr>
          <w:rFonts w:ascii="Times New Roman" w:eastAsia="MS Mincho" w:hAnsi="Times New Roman" w:cs="Times New Roman"/>
          <w:color w:val="000000"/>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Pr>
            <w:rStyle w:val="a3"/>
            <w:rFonts w:ascii="Times New Roman" w:eastAsia="Calibri" w:hAnsi="Times New Roman" w:cs="Times New Roman"/>
            <w:sz w:val="20"/>
            <w:szCs w:val="20"/>
          </w:rPr>
          <w:t>http://minfin.com.ua/currency/mb</w:t>
        </w:r>
      </w:hyperlink>
      <w:r>
        <w:rPr>
          <w:rFonts w:ascii="Times New Roman" w:eastAsia="Calibri" w:hAnsi="Times New Roman" w:cs="Times New Roman"/>
          <w:sz w:val="24"/>
          <w:szCs w:val="24"/>
        </w:rPr>
        <w:t>.</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EB73AD" w:rsidRDefault="00EB73AD" w:rsidP="00EB73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9" w:history="1">
        <w:r>
          <w:rPr>
            <w:rStyle w:val="a3"/>
            <w:rFonts w:ascii="Times New Roman" w:eastAsia="Calibri" w:hAnsi="Times New Roman" w:cs="Times New Roman"/>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10" w:history="1">
        <w:r>
          <w:rPr>
            <w:rStyle w:val="a3"/>
            <w:rFonts w:ascii="Times New Roman" w:eastAsia="Calibri" w:hAnsi="Times New Roman" w:cs="Times New Roman"/>
          </w:rPr>
          <w:t>http://minfin.com.ua/currency/mb</w:t>
        </w:r>
      </w:hyperlink>
      <w:r>
        <w:rPr>
          <w:rFonts w:ascii="Times New Roman" w:eastAsia="Calibri" w:hAnsi="Times New Roman" w:cs="Times New Roman"/>
          <w:sz w:val="24"/>
          <w:szCs w:val="24"/>
        </w:rPr>
        <w:t xml:space="preserve"> на дату укладання Договору;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EB73AD" w:rsidRDefault="00EB73AD" w:rsidP="00EB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EB73AD" w:rsidRDefault="00EB73AD" w:rsidP="00EB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numPr>
          <w:ilvl w:val="0"/>
          <w:numId w:val="2"/>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EB73AD" w:rsidRDefault="00EB73AD" w:rsidP="00EB73AD">
      <w:pPr>
        <w:spacing w:after="0" w:line="240" w:lineRule="auto"/>
        <w:jc w:val="both"/>
        <w:rPr>
          <w:rFonts w:ascii="Times New Roman" w:eastAsia="MS Mincho" w:hAnsi="Times New Roman" w:cs="Times New Roman"/>
          <w:color w:val="000000"/>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Pr>
          <w:rFonts w:ascii="Times New Roman" w:eastAsia="Calibri" w:hAnsi="Times New Roman" w:cs="Times New Roman"/>
          <w:sz w:val="24"/>
          <w:szCs w:val="24"/>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EB73AD" w:rsidRDefault="00EB73AD" w:rsidP="00EB73AD">
      <w:pPr>
        <w:numPr>
          <w:ilvl w:val="1"/>
          <w:numId w:val="3"/>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EB73AD" w:rsidRDefault="00EB73AD" w:rsidP="00EB73AD">
      <w:pPr>
        <w:spacing w:after="0" w:line="240" w:lineRule="auto"/>
        <w:jc w:val="both"/>
        <w:rPr>
          <w:rFonts w:ascii="Times New Roman" w:eastAsia="MS Mincho" w:hAnsi="Times New Roman" w:cs="Times New Roman"/>
          <w:sz w:val="24"/>
          <w:szCs w:val="24"/>
        </w:rPr>
      </w:pPr>
    </w:p>
    <w:p w:rsidR="00EB73AD" w:rsidRDefault="00EB73AD" w:rsidP="00EB73AD">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EB73AD" w:rsidRDefault="00EB73AD" w:rsidP="00EB73AD">
      <w:pPr>
        <w:spacing w:after="0" w:line="240" w:lineRule="auto"/>
        <w:rPr>
          <w:rFonts w:ascii="Times New Roman" w:eastAsia="MS Mincho" w:hAnsi="Times New Roman" w:cs="Times New Roman"/>
          <w:b/>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EB73AD" w:rsidRPr="00A40B92"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EB73AD" w:rsidRPr="00A40B92"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EB73AD" w:rsidRDefault="00EB73AD" w:rsidP="00EB73AD">
      <w:pPr>
        <w:spacing w:after="0" w:line="240" w:lineRule="auto"/>
        <w:jc w:val="both"/>
        <w:rPr>
          <w:rFonts w:ascii="Times New Roman" w:eastAsia="MS Mincho" w:hAnsi="Times New Roman" w:cs="Times New Roman"/>
          <w:b/>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Pr>
          <w:rFonts w:ascii="Times New Roman" w:eastAsia="Calibri" w:hAnsi="Times New Roman" w:cs="Times New Roman"/>
          <w:sz w:val="24"/>
          <w:szCs w:val="24"/>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EB73AD" w:rsidRDefault="00EB73AD" w:rsidP="00EB73AD">
      <w:pPr>
        <w:spacing w:after="0" w:line="240" w:lineRule="auto"/>
        <w:jc w:val="both"/>
        <w:rPr>
          <w:rFonts w:ascii="Times New Roman" w:eastAsia="MS Mincho" w:hAnsi="Times New Roman" w:cs="Times New Roman"/>
          <w:sz w:val="24"/>
          <w:szCs w:val="24"/>
        </w:rPr>
      </w:pPr>
    </w:p>
    <w:p w:rsidR="00EB73AD" w:rsidRDefault="00EB73AD" w:rsidP="00EB73AD">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EB73AD" w:rsidRDefault="00EB73AD" w:rsidP="00EB73AD">
      <w:pPr>
        <w:spacing w:after="0" w:line="240" w:lineRule="auto"/>
        <w:jc w:val="center"/>
        <w:rPr>
          <w:rFonts w:ascii="Times New Roman" w:eastAsia="MS Mincho" w:hAnsi="Times New Roman" w:cs="Times New Roman"/>
          <w:b/>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EB73AD" w:rsidRDefault="00EB73AD" w:rsidP="00EB73A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EB73AD" w:rsidRDefault="00EB73AD" w:rsidP="00EB73AD">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EB73AD" w:rsidRDefault="00EB73AD" w:rsidP="00EB73AD">
      <w:pPr>
        <w:spacing w:after="0" w:line="240" w:lineRule="auto"/>
        <w:jc w:val="both"/>
        <w:rPr>
          <w:rFonts w:ascii="Times New Roman" w:eastAsia="MS Mincho" w:hAnsi="Times New Roman" w:cs="Times New Roman"/>
          <w:sz w:val="24"/>
          <w:szCs w:val="24"/>
        </w:rPr>
      </w:pPr>
    </w:p>
    <w:p w:rsidR="00EB73AD" w:rsidRDefault="00EB73AD" w:rsidP="00EB73AD">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EB73AD" w:rsidRDefault="00EB73AD" w:rsidP="00EB73AD">
      <w:pPr>
        <w:spacing w:after="0" w:line="240" w:lineRule="auto"/>
        <w:jc w:val="both"/>
        <w:rPr>
          <w:rFonts w:ascii="Times New Roman" w:eastAsia="MS Mincho" w:hAnsi="Times New Roman" w:cs="Times New Roman"/>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Pr>
          <w:rFonts w:ascii="Times New Roman" w:eastAsia="Calibri" w:hAnsi="Times New Roman" w:cs="Times New Roman"/>
          <w:sz w:val="24"/>
          <w:szCs w:val="24"/>
        </w:rPr>
        <w:lastRenderedPageBreak/>
        <w:t>зазначених обставин Покупцем під час або після введення Товару у виробничу експлуатацію.</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EB73AD" w:rsidRDefault="00EB73AD" w:rsidP="00EB73AD">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Pr>
          <w:rFonts w:ascii="Times New Roman" w:eastAsia="Calibri" w:hAnsi="Times New Roman" w:cs="Times New Roman"/>
          <w:sz w:val="24"/>
          <w:szCs w:val="24"/>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B73AD" w:rsidRDefault="00EB73AD" w:rsidP="00EB73AD">
      <w:pPr>
        <w:spacing w:after="0"/>
        <w:rPr>
          <w:rFonts w:ascii="Times New Roman" w:eastAsia="Calibri" w:hAnsi="Times New Roman" w:cs="Times New Roman"/>
          <w:sz w:val="24"/>
          <w:szCs w:val="24"/>
        </w:rPr>
      </w:pPr>
    </w:p>
    <w:p w:rsidR="00EB73AD" w:rsidRDefault="00EB73AD" w:rsidP="00EB73AD">
      <w:pPr>
        <w:numPr>
          <w:ilvl w:val="0"/>
          <w:numId w:val="4"/>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EB73AD" w:rsidRDefault="00EB73AD" w:rsidP="00EB73A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EB73AD" w:rsidRDefault="00EB73AD" w:rsidP="00EB73AD">
      <w:pPr>
        <w:spacing w:after="0"/>
        <w:rPr>
          <w:rFonts w:ascii="Times New Roman" w:eastAsia="Calibri" w:hAnsi="Times New Roman" w:cs="Times New Roman"/>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EB73AD" w:rsidRDefault="00EB73AD" w:rsidP="00EB73AD">
      <w:pPr>
        <w:spacing w:after="0" w:line="240" w:lineRule="auto"/>
        <w:jc w:val="center"/>
        <w:rPr>
          <w:rFonts w:ascii="Times New Roman" w:eastAsia="Calibri" w:hAnsi="Times New Roman" w:cs="Times New Roman"/>
          <w:b/>
          <w:bCs/>
          <w:sz w:val="24"/>
          <w:szCs w:val="24"/>
        </w:rPr>
      </w:pPr>
    </w:p>
    <w:p w:rsidR="00EB73AD" w:rsidRDefault="00EB73AD" w:rsidP="00EB73A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Pr>
          <w:rFonts w:ascii="Times New Roman" w:eastAsia="Calibri" w:hAnsi="Times New Roman" w:cs="Times New Roman"/>
          <w:sz w:val="24"/>
          <w:szCs w:val="24"/>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EB73AD" w:rsidRDefault="00EB73AD" w:rsidP="00EB73A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EB73AD" w:rsidRDefault="00EB73AD" w:rsidP="00EB73AD">
      <w:pPr>
        <w:spacing w:after="0"/>
        <w:jc w:val="center"/>
        <w:rPr>
          <w:rFonts w:ascii="Times New Roman" w:eastAsia="Calibri" w:hAnsi="Times New Roman" w:cs="Times New Roman"/>
          <w:b/>
          <w:szCs w:val="24"/>
        </w:rPr>
      </w:pP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B73AD" w:rsidRDefault="00EB73AD" w:rsidP="00EB73AD">
      <w:pPr>
        <w:jc w:val="both"/>
        <w:rPr>
          <w:rFonts w:ascii="Times New Roman" w:eastAsia="Calibri" w:hAnsi="Times New Roman" w:cs="Times New Roman"/>
          <w:sz w:val="24"/>
          <w:szCs w:val="24"/>
        </w:rPr>
      </w:pPr>
    </w:p>
    <w:p w:rsidR="00EB73AD" w:rsidRDefault="00EB73AD" w:rsidP="00EB73AD">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EB73AD" w:rsidRDefault="00EB73AD" w:rsidP="00EB73AD">
      <w:pPr>
        <w:spacing w:after="0" w:line="240" w:lineRule="auto"/>
        <w:ind w:firstLine="720"/>
        <w:jc w:val="center"/>
        <w:rPr>
          <w:rFonts w:ascii="Times New Roman" w:eastAsia="Calibri" w:hAnsi="Times New Roman" w:cs="Times New Roman"/>
          <w:b/>
          <w:snapToGrid w:val="0"/>
          <w:sz w:val="24"/>
          <w:szCs w:val="24"/>
        </w:rPr>
      </w:pPr>
    </w:p>
    <w:p w:rsidR="00EB73AD" w:rsidRDefault="00EB73AD" w:rsidP="00EB73A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EB73AD" w:rsidRDefault="00EB73AD" w:rsidP="00EB73A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EB73AD" w:rsidRPr="007947D2" w:rsidRDefault="00EB73AD" w:rsidP="00EB73A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EB73AD" w:rsidRDefault="00EB73AD" w:rsidP="00EB73A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EB73AD" w:rsidRDefault="00EB73AD" w:rsidP="00EB73A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EB73AD" w:rsidRDefault="00EB73AD" w:rsidP="00EB73A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B73AD" w:rsidRDefault="00EB73AD" w:rsidP="00EB73A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EB73AD" w:rsidRDefault="00EB73AD" w:rsidP="00EB73A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B73AD" w:rsidRDefault="00EB73AD" w:rsidP="00EB73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B73AD" w:rsidRDefault="00EB73AD" w:rsidP="00EB73AD">
      <w:pPr>
        <w:jc w:val="both"/>
        <w:rPr>
          <w:rFonts w:ascii="Times New Roman" w:eastAsia="Calibri" w:hAnsi="Times New Roman" w:cs="Times New Roman"/>
          <w:sz w:val="24"/>
          <w:szCs w:val="24"/>
        </w:rPr>
      </w:pPr>
    </w:p>
    <w:p w:rsidR="00EB73AD" w:rsidRDefault="00EB73AD" w:rsidP="00EB73AD">
      <w:pPr>
        <w:jc w:val="both"/>
        <w:rPr>
          <w:rFonts w:ascii="Times New Roman" w:eastAsia="Calibri" w:hAnsi="Times New Roman" w:cs="Times New Roman"/>
          <w:sz w:val="24"/>
          <w:szCs w:val="24"/>
        </w:rPr>
      </w:pPr>
    </w:p>
    <w:p w:rsidR="00EB73AD" w:rsidRDefault="00EB73AD" w:rsidP="00EB73A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EB73AD" w:rsidRDefault="00EB73AD" w:rsidP="00EB73AD">
      <w:pPr>
        <w:spacing w:after="0" w:line="240" w:lineRule="auto"/>
        <w:jc w:val="right"/>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center"/>
        <w:rPr>
          <w:rFonts w:ascii="Times New Roman" w:eastAsia="Calibri" w:hAnsi="Times New Roman" w:cs="Times New Roman"/>
          <w:b/>
          <w:sz w:val="24"/>
          <w:szCs w:val="24"/>
          <w:lang w:val="uk-UA"/>
        </w:rPr>
      </w:pPr>
    </w:p>
    <w:p w:rsidR="00EB73AD" w:rsidRDefault="00EB73AD" w:rsidP="00EB73A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EB73AD" w:rsidRDefault="00EB73AD" w:rsidP="00EB73A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EB73AD" w:rsidRDefault="00EB73AD" w:rsidP="00EB73AD">
      <w:pPr>
        <w:spacing w:after="0" w:line="240" w:lineRule="auto"/>
        <w:jc w:val="right"/>
        <w:rPr>
          <w:rFonts w:ascii="Times New Roman" w:eastAsia="Calibri" w:hAnsi="Times New Roman" w:cs="Times New Roman"/>
          <w:bCs/>
          <w:sz w:val="24"/>
          <w:szCs w:val="24"/>
        </w:rPr>
      </w:pPr>
    </w:p>
    <w:p w:rsidR="00EB73AD" w:rsidRDefault="00EB73AD" w:rsidP="00EB73AD">
      <w:pPr>
        <w:spacing w:after="0" w:line="240" w:lineRule="auto"/>
        <w:jc w:val="right"/>
        <w:rPr>
          <w:rFonts w:ascii="Times New Roman" w:eastAsia="Calibri" w:hAnsi="Times New Roman" w:cs="Times New Roman"/>
          <w:bCs/>
          <w:sz w:val="24"/>
          <w:szCs w:val="24"/>
        </w:rPr>
      </w:pPr>
    </w:p>
    <w:p w:rsidR="00EB73AD" w:rsidRDefault="00EB73AD" w:rsidP="00EB73AD">
      <w:pPr>
        <w:spacing w:after="0" w:line="240" w:lineRule="auto"/>
        <w:jc w:val="right"/>
        <w:rPr>
          <w:rFonts w:ascii="Times New Roman" w:eastAsia="Calibri" w:hAnsi="Times New Roman" w:cs="Times New Roman"/>
          <w:bCs/>
          <w:sz w:val="24"/>
          <w:szCs w:val="24"/>
        </w:rPr>
      </w:pPr>
    </w:p>
    <w:p w:rsidR="00EB73AD" w:rsidRDefault="00EB73AD" w:rsidP="00EB73AD">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EB73AD" w:rsidRDefault="00EB73AD" w:rsidP="00EB73A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EB73AD" w:rsidRDefault="00EB73AD" w:rsidP="00EB73AD">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EB73AD" w:rsidTr="003E58BD">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EB73AD" w:rsidTr="003E58B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EB73AD" w:rsidRDefault="00EB73AD" w:rsidP="003E58B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r>
      <w:tr w:rsidR="00EB73AD" w:rsidTr="003E58B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EB73AD" w:rsidRDefault="00EB73AD" w:rsidP="003E58B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r>
      <w:tr w:rsidR="00EB73AD" w:rsidTr="003E58B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EB73AD" w:rsidRDefault="00EB73AD" w:rsidP="003E58B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r>
      <w:tr w:rsidR="00EB73AD" w:rsidTr="003E58B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EB73AD" w:rsidRDefault="00EB73AD" w:rsidP="003E58B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r>
      <w:tr w:rsidR="00EB73AD" w:rsidTr="003E58B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EB73AD" w:rsidRDefault="00EB73AD" w:rsidP="003E58B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EB73AD" w:rsidRDefault="00EB73AD" w:rsidP="003E58BD">
            <w:pPr>
              <w:spacing w:after="0" w:line="240" w:lineRule="auto"/>
              <w:jc w:val="center"/>
              <w:rPr>
                <w:rFonts w:ascii="Times New Roman" w:eastAsia="Calibri" w:hAnsi="Times New Roman" w:cs="Times New Roman"/>
                <w:sz w:val="24"/>
                <w:szCs w:val="24"/>
              </w:rPr>
            </w:pPr>
          </w:p>
        </w:tc>
      </w:tr>
      <w:tr w:rsidR="00EB73AD" w:rsidTr="003E58BD">
        <w:trPr>
          <w:trHeight w:val="20"/>
          <w:jc w:val="center"/>
        </w:trPr>
        <w:tc>
          <w:tcPr>
            <w:tcW w:w="560" w:type="dxa"/>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3645" w:type="dxa"/>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EB73AD" w:rsidRDefault="00EB73AD" w:rsidP="003E58BD">
            <w:pPr>
              <w:spacing w:after="0" w:line="240" w:lineRule="auto"/>
              <w:jc w:val="center"/>
              <w:rPr>
                <w:rFonts w:ascii="Times New Roman" w:eastAsia="Calibri" w:hAnsi="Times New Roman" w:cs="Times New Roman"/>
                <w:b/>
                <w:bCs/>
                <w:color w:val="000000"/>
                <w:sz w:val="24"/>
                <w:szCs w:val="24"/>
              </w:rPr>
            </w:pPr>
          </w:p>
        </w:tc>
      </w:tr>
      <w:tr w:rsidR="00EB73AD" w:rsidTr="003E58BD">
        <w:trPr>
          <w:trHeight w:val="20"/>
          <w:jc w:val="center"/>
        </w:trPr>
        <w:tc>
          <w:tcPr>
            <w:tcW w:w="560" w:type="dxa"/>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3645" w:type="dxa"/>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EB73AD" w:rsidRDefault="00EB73AD" w:rsidP="003E58BD">
            <w:pPr>
              <w:spacing w:after="0" w:line="240" w:lineRule="auto"/>
              <w:jc w:val="center"/>
              <w:rPr>
                <w:rFonts w:ascii="Times New Roman" w:eastAsia="Calibri" w:hAnsi="Times New Roman" w:cs="Times New Roman"/>
                <w:b/>
                <w:bCs/>
                <w:color w:val="000000"/>
                <w:sz w:val="24"/>
                <w:szCs w:val="24"/>
              </w:rPr>
            </w:pPr>
          </w:p>
        </w:tc>
      </w:tr>
      <w:tr w:rsidR="00EB73AD" w:rsidTr="003E58BD">
        <w:trPr>
          <w:trHeight w:val="20"/>
          <w:jc w:val="center"/>
        </w:trPr>
        <w:tc>
          <w:tcPr>
            <w:tcW w:w="560" w:type="dxa"/>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3645" w:type="dxa"/>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EB73AD" w:rsidRDefault="00EB73AD" w:rsidP="003E58BD">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EB73AD" w:rsidRDefault="00EB73AD" w:rsidP="003E58B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EB73AD" w:rsidRDefault="00EB73AD" w:rsidP="003E58BD">
            <w:pPr>
              <w:spacing w:after="0" w:line="240" w:lineRule="auto"/>
              <w:jc w:val="center"/>
              <w:rPr>
                <w:rFonts w:ascii="Times New Roman" w:eastAsia="Calibri" w:hAnsi="Times New Roman" w:cs="Times New Roman"/>
                <w:b/>
                <w:bCs/>
                <w:color w:val="000000"/>
                <w:sz w:val="24"/>
                <w:szCs w:val="24"/>
              </w:rPr>
            </w:pPr>
          </w:p>
        </w:tc>
      </w:tr>
    </w:tbl>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EB73AD" w:rsidRDefault="00EB73AD" w:rsidP="00EB73A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spacing w:after="0" w:line="240" w:lineRule="auto"/>
        <w:jc w:val="both"/>
        <w:rPr>
          <w:rFonts w:ascii="Times New Roman" w:eastAsia="Calibri" w:hAnsi="Times New Roman" w:cs="Times New Roman"/>
          <w:sz w:val="24"/>
          <w:szCs w:val="24"/>
        </w:rPr>
      </w:pPr>
    </w:p>
    <w:p w:rsidR="00EB73AD" w:rsidRDefault="00EB73AD" w:rsidP="00EB73AD">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EB73AD" w:rsidTr="003E58BD">
        <w:trPr>
          <w:trHeight w:val="173"/>
        </w:trPr>
        <w:tc>
          <w:tcPr>
            <w:tcW w:w="4705" w:type="dxa"/>
            <w:vAlign w:val="center"/>
            <w:hideMark/>
          </w:tcPr>
          <w:p w:rsidR="00EB73AD" w:rsidRDefault="00EB73AD" w:rsidP="003E58B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EB73AD" w:rsidRDefault="00EB73AD" w:rsidP="003E58B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EB73AD" w:rsidTr="003E58BD">
        <w:trPr>
          <w:trHeight w:val="318"/>
        </w:trPr>
        <w:tc>
          <w:tcPr>
            <w:tcW w:w="4705" w:type="dxa"/>
            <w:vAlign w:val="center"/>
          </w:tcPr>
          <w:p w:rsidR="00EB73AD" w:rsidRDefault="00EB73AD" w:rsidP="003E58BD">
            <w:pPr>
              <w:jc w:val="both"/>
              <w:rPr>
                <w:rFonts w:ascii="Times New Roman" w:eastAsia="Calibri" w:hAnsi="Times New Roman" w:cs="Times New Roman"/>
                <w:b/>
                <w:sz w:val="24"/>
                <w:szCs w:val="24"/>
              </w:rPr>
            </w:pPr>
          </w:p>
        </w:tc>
        <w:tc>
          <w:tcPr>
            <w:tcW w:w="5435" w:type="dxa"/>
            <w:vAlign w:val="center"/>
          </w:tcPr>
          <w:p w:rsidR="00EB73AD" w:rsidRDefault="00EB73AD" w:rsidP="003E58BD">
            <w:pPr>
              <w:jc w:val="both"/>
              <w:rPr>
                <w:rFonts w:ascii="Times New Roman" w:eastAsia="Calibri" w:hAnsi="Times New Roman" w:cs="Times New Roman"/>
                <w:b/>
                <w:color w:val="000000"/>
                <w:sz w:val="24"/>
                <w:szCs w:val="24"/>
              </w:rPr>
            </w:pPr>
          </w:p>
        </w:tc>
      </w:tr>
      <w:tr w:rsidR="00EB73AD" w:rsidTr="003E58BD">
        <w:trPr>
          <w:trHeight w:val="1779"/>
        </w:trPr>
        <w:tc>
          <w:tcPr>
            <w:tcW w:w="4705" w:type="dxa"/>
            <w:vAlign w:val="center"/>
          </w:tcPr>
          <w:p w:rsidR="00EB73AD" w:rsidRDefault="00EB73AD" w:rsidP="003E58BD">
            <w:pPr>
              <w:jc w:val="both"/>
              <w:rPr>
                <w:rFonts w:ascii="Times New Roman" w:eastAsia="Calibri" w:hAnsi="Times New Roman" w:cs="Times New Roman"/>
                <w:sz w:val="24"/>
                <w:szCs w:val="24"/>
              </w:rPr>
            </w:pPr>
          </w:p>
        </w:tc>
        <w:tc>
          <w:tcPr>
            <w:tcW w:w="5435" w:type="dxa"/>
            <w:vAlign w:val="center"/>
          </w:tcPr>
          <w:p w:rsidR="00EB73AD" w:rsidRDefault="00EB73AD" w:rsidP="003E58BD">
            <w:pPr>
              <w:jc w:val="both"/>
              <w:rPr>
                <w:rFonts w:ascii="Times New Roman" w:eastAsia="Calibri" w:hAnsi="Times New Roman" w:cs="Times New Roman"/>
                <w:sz w:val="24"/>
                <w:szCs w:val="24"/>
              </w:rPr>
            </w:pPr>
          </w:p>
        </w:tc>
      </w:tr>
    </w:tbl>
    <w:p w:rsidR="00EB73AD" w:rsidRDefault="00EB73AD" w:rsidP="00EB73AD">
      <w:pPr>
        <w:spacing w:line="240" w:lineRule="auto"/>
        <w:ind w:left="-540"/>
        <w:rPr>
          <w:rFonts w:ascii="Times New Roman" w:eastAsia="Calibri" w:hAnsi="Times New Roman" w:cs="Times New Roman"/>
        </w:rPr>
      </w:pPr>
      <w:r>
        <w:rPr>
          <w:rFonts w:ascii="Times New Roman" w:eastAsia="Verdana" w:hAnsi="Times New Roman" w:cs="Times New Roman"/>
          <w:b/>
        </w:rPr>
        <w:t>Примітка:</w:t>
      </w:r>
    </w:p>
    <w:p w:rsidR="00EB73AD" w:rsidRDefault="00EB73AD" w:rsidP="00EB73AD">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EB73AD" w:rsidRDefault="00EB73AD" w:rsidP="00EB73AD">
      <w:pPr>
        <w:spacing w:after="0" w:line="240" w:lineRule="auto"/>
        <w:jc w:val="both"/>
        <w:rPr>
          <w:rFonts w:ascii="Times New Roman" w:eastAsia="Calibri" w:hAnsi="Times New Roman" w:cs="Times New Roman"/>
          <w:b/>
          <w:bCs/>
          <w:iCs/>
          <w:sz w:val="24"/>
          <w:szCs w:val="24"/>
        </w:rPr>
      </w:pPr>
    </w:p>
    <w:p w:rsidR="00EB73AD" w:rsidRDefault="00EB73AD" w:rsidP="00EB73AD">
      <w:pPr>
        <w:spacing w:after="0" w:line="240" w:lineRule="auto"/>
        <w:jc w:val="both"/>
        <w:rPr>
          <w:rFonts w:ascii="Times New Roman" w:eastAsia="Calibri" w:hAnsi="Times New Roman" w:cs="Times New Roman"/>
          <w:b/>
          <w:bCs/>
          <w:iCs/>
          <w:sz w:val="24"/>
          <w:szCs w:val="24"/>
        </w:rPr>
      </w:pPr>
    </w:p>
    <w:p w:rsidR="00EB73AD" w:rsidRDefault="00EB73AD" w:rsidP="00EB73AD"/>
    <w:p w:rsidR="00EB73AD" w:rsidRPr="00FB5985" w:rsidRDefault="00EB73AD" w:rsidP="00EB73AD">
      <w:pPr>
        <w:rPr>
          <w:lang w:val="uk-UA"/>
        </w:rPr>
      </w:pPr>
    </w:p>
    <w:p w:rsidR="002679AD" w:rsidRPr="00405163" w:rsidRDefault="002679AD" w:rsidP="00405163">
      <w:bookmarkStart w:id="0" w:name="_GoBack"/>
      <w:bookmarkEnd w:id="0"/>
    </w:p>
    <w:sectPr w:rsidR="002679AD" w:rsidRPr="00405163" w:rsidSect="004846BF">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3C" w:rsidRDefault="009A4E3C">
      <w:pPr>
        <w:spacing w:after="0" w:line="240" w:lineRule="auto"/>
      </w:pPr>
      <w:r>
        <w:separator/>
      </w:r>
    </w:p>
  </w:endnote>
  <w:endnote w:type="continuationSeparator" w:id="0">
    <w:p w:rsidR="009A4E3C" w:rsidRDefault="009A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7" w:rsidRDefault="00E07BC0">
    <w:pPr>
      <w:pStyle w:val="a4"/>
      <w:jc w:val="center"/>
    </w:pPr>
    <w:r>
      <w:fldChar w:fldCharType="begin"/>
    </w:r>
    <w:r>
      <w:instrText>PAGE   \* MERGEFORMAT</w:instrText>
    </w:r>
    <w:r>
      <w:fldChar w:fldCharType="separate"/>
    </w:r>
    <w:r w:rsidR="00EB73AD">
      <w:rPr>
        <w:noProof/>
      </w:rPr>
      <w:t>9</w:t>
    </w:r>
    <w:r>
      <w:fldChar w:fldCharType="end"/>
    </w:r>
  </w:p>
  <w:p w:rsidR="00E16EE7" w:rsidRDefault="009A4E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3C" w:rsidRDefault="009A4E3C">
      <w:pPr>
        <w:spacing w:after="0" w:line="240" w:lineRule="auto"/>
      </w:pPr>
      <w:r>
        <w:separator/>
      </w:r>
    </w:p>
  </w:footnote>
  <w:footnote w:type="continuationSeparator" w:id="0">
    <w:p w:rsidR="009A4E3C" w:rsidRDefault="009A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B3"/>
    <w:rsid w:val="000D35B3"/>
    <w:rsid w:val="0012306D"/>
    <w:rsid w:val="001A6F5F"/>
    <w:rsid w:val="001C2653"/>
    <w:rsid w:val="002679AD"/>
    <w:rsid w:val="003E384A"/>
    <w:rsid w:val="00405163"/>
    <w:rsid w:val="007F0E76"/>
    <w:rsid w:val="00806D96"/>
    <w:rsid w:val="00962E03"/>
    <w:rsid w:val="009878A5"/>
    <w:rsid w:val="009A4E3C"/>
    <w:rsid w:val="00B432CA"/>
    <w:rsid w:val="00C35EAB"/>
    <w:rsid w:val="00C56361"/>
    <w:rsid w:val="00C9041B"/>
    <w:rsid w:val="00C97680"/>
    <w:rsid w:val="00E07BC0"/>
    <w:rsid w:val="00E17F13"/>
    <w:rsid w:val="00EB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8A5"/>
    <w:rPr>
      <w:color w:val="0000FF"/>
      <w:u w:val="single"/>
    </w:rPr>
  </w:style>
  <w:style w:type="paragraph" w:styleId="a4">
    <w:name w:val="footer"/>
    <w:basedOn w:val="a"/>
    <w:link w:val="a5"/>
    <w:uiPriority w:val="99"/>
    <w:unhideWhenUsed/>
    <w:rsid w:val="00E07B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0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8A5"/>
    <w:rPr>
      <w:color w:val="0000FF"/>
      <w:u w:val="single"/>
    </w:rPr>
  </w:style>
  <w:style w:type="paragraph" w:styleId="a4">
    <w:name w:val="footer"/>
    <w:basedOn w:val="a"/>
    <w:link w:val="a5"/>
    <w:uiPriority w:val="99"/>
    <w:unhideWhenUsed/>
    <w:rsid w:val="00E07B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0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Ганна Олександрівна Стефанів</cp:lastModifiedBy>
  <cp:revision>17</cp:revision>
  <dcterms:created xsi:type="dcterms:W3CDTF">2022-11-28T10:44:00Z</dcterms:created>
  <dcterms:modified xsi:type="dcterms:W3CDTF">2023-03-16T06:35:00Z</dcterms:modified>
</cp:coreProperties>
</file>