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7C5CF0" w14:textId="77777777" w:rsidR="00070C58" w:rsidRDefault="00070C58" w:rsidP="00070C58">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6E06639D" w14:textId="77777777" w:rsidR="00070C58" w:rsidRPr="005C0AD0" w:rsidRDefault="00070C58" w:rsidP="00070C58">
      <w:pPr>
        <w:spacing w:line="264" w:lineRule="auto"/>
        <w:jc w:val="center"/>
        <w:rPr>
          <w:b/>
          <w:sz w:val="40"/>
          <w:szCs w:val="40"/>
        </w:rPr>
      </w:pPr>
      <w:r w:rsidRPr="000E3D3D">
        <w:rPr>
          <w:b/>
          <w:sz w:val="40"/>
          <w:szCs w:val="40"/>
        </w:rPr>
        <w:t>«</w:t>
      </w:r>
      <w:r w:rsidRPr="005C0AD0">
        <w:rPr>
          <w:b/>
          <w:sz w:val="40"/>
          <w:szCs w:val="40"/>
        </w:rPr>
        <w:t>Хмельницьк</w:t>
      </w:r>
      <w:r>
        <w:rPr>
          <w:b/>
          <w:sz w:val="40"/>
          <w:szCs w:val="40"/>
        </w:rPr>
        <w:t>ий</w:t>
      </w:r>
      <w:r w:rsidRPr="005C0AD0">
        <w:rPr>
          <w:b/>
          <w:sz w:val="40"/>
          <w:szCs w:val="40"/>
        </w:rPr>
        <w:t xml:space="preserve"> </w:t>
      </w:r>
      <w:r>
        <w:rPr>
          <w:b/>
          <w:sz w:val="40"/>
          <w:szCs w:val="40"/>
        </w:rPr>
        <w:t>міський перинатальний центр</w:t>
      </w:r>
      <w:r w:rsidRPr="000E3D3D">
        <w:rPr>
          <w:b/>
          <w:sz w:val="40"/>
          <w:szCs w:val="40"/>
        </w:rPr>
        <w:t>»</w:t>
      </w:r>
      <w:r>
        <w:rPr>
          <w:b/>
          <w:sz w:val="40"/>
          <w:szCs w:val="40"/>
        </w:rPr>
        <w:t xml:space="preserve"> </w:t>
      </w:r>
    </w:p>
    <w:p w14:paraId="062864C4" w14:textId="77777777" w:rsidR="00070C58" w:rsidRPr="005C0AD0" w:rsidRDefault="00070C58" w:rsidP="00070C58">
      <w:pPr>
        <w:spacing w:line="264" w:lineRule="auto"/>
        <w:jc w:val="center"/>
        <w:rPr>
          <w:b/>
          <w:bCs/>
          <w:sz w:val="38"/>
          <w:szCs w:val="38"/>
        </w:rPr>
      </w:pPr>
      <w:r w:rsidRPr="005C0AD0">
        <w:rPr>
          <w:b/>
          <w:sz w:val="40"/>
          <w:szCs w:val="40"/>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070C58" w:rsidRPr="00912256" w14:paraId="45FC3051" w14:textId="77777777" w:rsidTr="00F4509B">
        <w:tc>
          <w:tcPr>
            <w:tcW w:w="3931" w:type="dxa"/>
            <w:tcBorders>
              <w:top w:val="nil"/>
              <w:left w:val="nil"/>
              <w:bottom w:val="nil"/>
              <w:right w:val="nil"/>
            </w:tcBorders>
          </w:tcPr>
          <w:p w14:paraId="56AE67E0" w14:textId="77777777" w:rsidR="00070C58" w:rsidRPr="00860C9E" w:rsidRDefault="00070C58" w:rsidP="00F4509B">
            <w:pPr>
              <w:spacing w:line="264" w:lineRule="auto"/>
              <w:rPr>
                <w:b/>
                <w:bCs/>
                <w:sz w:val="28"/>
                <w:szCs w:val="28"/>
              </w:rPr>
            </w:pPr>
          </w:p>
        </w:tc>
        <w:tc>
          <w:tcPr>
            <w:tcW w:w="6120" w:type="dxa"/>
            <w:tcBorders>
              <w:top w:val="nil"/>
              <w:left w:val="nil"/>
              <w:bottom w:val="nil"/>
              <w:right w:val="nil"/>
            </w:tcBorders>
          </w:tcPr>
          <w:p w14:paraId="7BD3F0CF" w14:textId="77777777" w:rsidR="00070C58" w:rsidRDefault="00070C58" w:rsidP="00F4509B">
            <w:pPr>
              <w:spacing w:line="264" w:lineRule="auto"/>
              <w:jc w:val="right"/>
              <w:rPr>
                <w:b/>
                <w:bCs/>
                <w:noProof/>
              </w:rPr>
            </w:pPr>
          </w:p>
          <w:p w14:paraId="0CCA3FBF" w14:textId="77777777" w:rsidR="00070C58" w:rsidRPr="00860C9E" w:rsidRDefault="00070C58" w:rsidP="00F4509B">
            <w:pPr>
              <w:spacing w:line="264" w:lineRule="auto"/>
              <w:jc w:val="right"/>
              <w:rPr>
                <w:b/>
                <w:bCs/>
                <w:noProof/>
              </w:rPr>
            </w:pPr>
            <w:r>
              <w:rPr>
                <w:b/>
                <w:bCs/>
                <w:noProof/>
              </w:rPr>
              <w:t xml:space="preserve">              </w:t>
            </w:r>
            <w:r w:rsidRPr="005C0AD0">
              <w:rPr>
                <w:b/>
                <w:bCs/>
                <w:noProof/>
              </w:rPr>
              <w:t xml:space="preserve">              </w:t>
            </w:r>
            <w:r>
              <w:rPr>
                <w:b/>
                <w:bCs/>
                <w:noProof/>
              </w:rPr>
              <w:t xml:space="preserve">  </w:t>
            </w:r>
            <w:r w:rsidRPr="00860C9E">
              <w:rPr>
                <w:b/>
                <w:bCs/>
                <w:noProof/>
              </w:rPr>
              <w:t xml:space="preserve">ЗАТВЕРДЖЕНО </w:t>
            </w:r>
          </w:p>
        </w:tc>
      </w:tr>
      <w:tr w:rsidR="00070C58" w:rsidRPr="00912256" w14:paraId="348CD1B1" w14:textId="77777777" w:rsidTr="00F4509B">
        <w:trPr>
          <w:trHeight w:val="669"/>
        </w:trPr>
        <w:tc>
          <w:tcPr>
            <w:tcW w:w="3931" w:type="dxa"/>
            <w:tcBorders>
              <w:top w:val="nil"/>
              <w:left w:val="nil"/>
              <w:bottom w:val="nil"/>
              <w:right w:val="nil"/>
            </w:tcBorders>
          </w:tcPr>
          <w:p w14:paraId="76D67A86" w14:textId="77777777" w:rsidR="00070C58" w:rsidRPr="00860C9E" w:rsidRDefault="00070C58" w:rsidP="00F4509B">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1D27647D" w14:textId="77777777" w:rsidR="00070C58" w:rsidRDefault="00070C58" w:rsidP="00F4509B">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0B46C1FE" w14:textId="77777777" w:rsidR="00070C58" w:rsidRPr="00860C9E" w:rsidRDefault="00070C58" w:rsidP="00F4509B">
            <w:pPr>
              <w:spacing w:line="264" w:lineRule="auto"/>
              <w:jc w:val="right"/>
              <w:rPr>
                <w:b/>
                <w:bCs/>
              </w:rPr>
            </w:pPr>
            <w:r>
              <w:rPr>
                <w:b/>
                <w:bCs/>
              </w:rPr>
              <w:t xml:space="preserve">                Зоряна ВАНДОЛЯК</w:t>
            </w:r>
          </w:p>
        </w:tc>
      </w:tr>
      <w:tr w:rsidR="00070C58" w:rsidRPr="00F836D2" w14:paraId="13D8A699" w14:textId="77777777" w:rsidTr="00F4509B">
        <w:tc>
          <w:tcPr>
            <w:tcW w:w="3931" w:type="dxa"/>
            <w:tcBorders>
              <w:top w:val="nil"/>
              <w:left w:val="nil"/>
              <w:bottom w:val="nil"/>
              <w:right w:val="nil"/>
            </w:tcBorders>
          </w:tcPr>
          <w:p w14:paraId="1955316B" w14:textId="77777777" w:rsidR="00070C58" w:rsidRPr="000E3D3D" w:rsidRDefault="00070C58" w:rsidP="00F4509B">
            <w:pPr>
              <w:spacing w:line="264" w:lineRule="auto"/>
              <w:rPr>
                <w:b/>
                <w:bCs/>
                <w:color w:val="FF0000"/>
              </w:rPr>
            </w:pPr>
          </w:p>
        </w:tc>
        <w:tc>
          <w:tcPr>
            <w:tcW w:w="6120" w:type="dxa"/>
            <w:tcBorders>
              <w:top w:val="nil"/>
              <w:left w:val="nil"/>
              <w:bottom w:val="nil"/>
              <w:right w:val="nil"/>
            </w:tcBorders>
          </w:tcPr>
          <w:p w14:paraId="74559F99" w14:textId="77777777" w:rsidR="00070C58" w:rsidRPr="006468F8" w:rsidRDefault="00070C58" w:rsidP="00F4509B">
            <w:pPr>
              <w:spacing w:line="264" w:lineRule="auto"/>
              <w:jc w:val="right"/>
              <w:rPr>
                <w:b/>
                <w:bCs/>
                <w:lang w:val="ru-RU"/>
              </w:rPr>
            </w:pPr>
            <w:r w:rsidRPr="00F836D2">
              <w:rPr>
                <w:b/>
                <w:bCs/>
                <w:color w:val="FF0000"/>
              </w:rPr>
              <w:t xml:space="preserve">                </w:t>
            </w:r>
            <w:r w:rsidRPr="006468F8">
              <w:rPr>
                <w:b/>
                <w:bCs/>
              </w:rPr>
              <w:t>ПРОТОКОЛ</w:t>
            </w:r>
          </w:p>
        </w:tc>
      </w:tr>
      <w:tr w:rsidR="00070C58" w:rsidRPr="00912256" w14:paraId="52EC85FD" w14:textId="77777777" w:rsidTr="00F4509B">
        <w:tc>
          <w:tcPr>
            <w:tcW w:w="3931" w:type="dxa"/>
            <w:tcBorders>
              <w:top w:val="nil"/>
              <w:left w:val="nil"/>
              <w:bottom w:val="nil"/>
              <w:right w:val="nil"/>
            </w:tcBorders>
          </w:tcPr>
          <w:p w14:paraId="797BF25A" w14:textId="77777777" w:rsidR="00070C58" w:rsidRPr="000E3D3D" w:rsidRDefault="00070C58" w:rsidP="00F4509B">
            <w:pPr>
              <w:spacing w:line="264" w:lineRule="auto"/>
              <w:rPr>
                <w:b/>
                <w:bCs/>
                <w:color w:val="FF0000"/>
                <w:sz w:val="28"/>
                <w:szCs w:val="28"/>
              </w:rPr>
            </w:pPr>
          </w:p>
        </w:tc>
        <w:tc>
          <w:tcPr>
            <w:tcW w:w="6120" w:type="dxa"/>
            <w:tcBorders>
              <w:top w:val="nil"/>
              <w:left w:val="nil"/>
              <w:bottom w:val="nil"/>
              <w:right w:val="nil"/>
            </w:tcBorders>
          </w:tcPr>
          <w:p w14:paraId="230D5E6F" w14:textId="7D435AF5" w:rsidR="00070C58" w:rsidRPr="00724ED6" w:rsidRDefault="00070C58" w:rsidP="00070C58">
            <w:pPr>
              <w:spacing w:line="264" w:lineRule="auto"/>
              <w:jc w:val="right"/>
              <w:rPr>
                <w:b/>
                <w:bCs/>
              </w:rPr>
            </w:pPr>
            <w:r w:rsidRPr="00724ED6">
              <w:rPr>
                <w:b/>
                <w:bCs/>
              </w:rPr>
              <w:t xml:space="preserve">                 від</w:t>
            </w:r>
            <w:r w:rsidRPr="00724ED6">
              <w:t xml:space="preserve"> </w:t>
            </w:r>
            <w:r w:rsidRPr="00724ED6">
              <w:rPr>
                <w:b/>
              </w:rPr>
              <w:t>«</w:t>
            </w:r>
            <w:r>
              <w:rPr>
                <w:b/>
              </w:rPr>
              <w:t>2</w:t>
            </w:r>
            <w:r>
              <w:rPr>
                <w:b/>
              </w:rPr>
              <w:t>4</w:t>
            </w:r>
            <w:r w:rsidRPr="00724ED6">
              <w:rPr>
                <w:b/>
              </w:rPr>
              <w:t xml:space="preserve">» </w:t>
            </w:r>
            <w:r>
              <w:rPr>
                <w:b/>
              </w:rPr>
              <w:t>січня</w:t>
            </w:r>
            <w:r w:rsidRPr="00724ED6">
              <w:rPr>
                <w:b/>
              </w:rPr>
              <w:t xml:space="preserve">  202</w:t>
            </w:r>
            <w:r>
              <w:rPr>
                <w:b/>
              </w:rPr>
              <w:t xml:space="preserve">3 </w:t>
            </w:r>
            <w:r w:rsidRPr="00724ED6">
              <w:rPr>
                <w:b/>
              </w:rPr>
              <w:t>року</w:t>
            </w:r>
          </w:p>
        </w:tc>
      </w:tr>
    </w:tbl>
    <w:p w14:paraId="6B4C4C07" w14:textId="77777777" w:rsidR="009B33EB" w:rsidRPr="009B33EB" w:rsidRDefault="009B33EB" w:rsidP="009B33EB">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tbl>
      <w:tblPr>
        <w:tblW w:w="0" w:type="auto"/>
        <w:tblLayout w:type="fixed"/>
        <w:tblLook w:val="0000" w:firstRow="0" w:lastRow="0" w:firstColumn="0" w:lastColumn="0" w:noHBand="0" w:noVBand="0"/>
      </w:tblPr>
      <w:tblGrid>
        <w:gridCol w:w="10598"/>
      </w:tblGrid>
      <w:tr w:rsidR="009B33EB" w:rsidRPr="00912256" w14:paraId="29C71001" w14:textId="77777777" w:rsidTr="00ED3230">
        <w:tc>
          <w:tcPr>
            <w:tcW w:w="10598" w:type="dxa"/>
            <w:tcBorders>
              <w:top w:val="nil"/>
              <w:left w:val="nil"/>
              <w:bottom w:val="nil"/>
              <w:right w:val="nil"/>
            </w:tcBorders>
          </w:tcPr>
          <w:p w14:paraId="24534692" w14:textId="77777777" w:rsidR="009B33EB" w:rsidRPr="00912256" w:rsidRDefault="009B33EB" w:rsidP="00ED3230">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9B33EB" w:rsidRPr="00912256" w14:paraId="357BCCAD" w14:textId="77777777" w:rsidTr="00ED3230">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7B78A2EF" w14:textId="4455A0AF" w:rsidR="009B33EB" w:rsidRDefault="009B33EB" w:rsidP="004B25E6">
      <w:pPr>
        <w:spacing w:line="264" w:lineRule="auto"/>
        <w:jc w:val="center"/>
        <w:rPr>
          <w:b/>
          <w:sz w:val="28"/>
          <w:szCs w:val="28"/>
        </w:rPr>
      </w:pPr>
      <w:r w:rsidRPr="004B25E6">
        <w:rPr>
          <w:b/>
          <w:sz w:val="28"/>
          <w:szCs w:val="28"/>
        </w:rPr>
        <w:t xml:space="preserve">на закупівлю </w:t>
      </w:r>
      <w:r w:rsidR="00E77A48">
        <w:rPr>
          <w:b/>
          <w:sz w:val="28"/>
          <w:szCs w:val="28"/>
        </w:rPr>
        <w:t>товару:</w:t>
      </w:r>
    </w:p>
    <w:p w14:paraId="273A70D7" w14:textId="77777777" w:rsidR="00F836D2" w:rsidRDefault="00F836D2" w:rsidP="004B25E6">
      <w:pPr>
        <w:spacing w:line="264" w:lineRule="auto"/>
        <w:jc w:val="center"/>
        <w:rPr>
          <w:b/>
          <w:sz w:val="28"/>
          <w:szCs w:val="28"/>
        </w:rPr>
      </w:pPr>
    </w:p>
    <w:p w14:paraId="367CE8C7" w14:textId="77777777" w:rsidR="009E6C63" w:rsidRDefault="009E6C63" w:rsidP="009E6C63">
      <w:pPr>
        <w:spacing w:line="264" w:lineRule="auto"/>
        <w:jc w:val="center"/>
        <w:rPr>
          <w:b/>
          <w:sz w:val="28"/>
          <w:szCs w:val="28"/>
        </w:rPr>
      </w:pPr>
      <w:r w:rsidRPr="009E6C63">
        <w:rPr>
          <w:b/>
          <w:sz w:val="28"/>
          <w:szCs w:val="28"/>
        </w:rPr>
        <w:t>овочі свіжі</w:t>
      </w:r>
    </w:p>
    <w:p w14:paraId="666ECE48" w14:textId="77777777" w:rsidR="009E6C63" w:rsidRPr="009E6C63" w:rsidRDefault="009E6C63" w:rsidP="009E6C63">
      <w:pPr>
        <w:spacing w:line="264" w:lineRule="auto"/>
        <w:jc w:val="center"/>
        <w:rPr>
          <w:b/>
          <w:sz w:val="28"/>
          <w:szCs w:val="28"/>
        </w:rPr>
      </w:pPr>
    </w:p>
    <w:p w14:paraId="70FAF3FB" w14:textId="1C056A2F" w:rsidR="009E6C63" w:rsidRPr="009E6C63" w:rsidRDefault="009E6C63" w:rsidP="009E6C63">
      <w:pPr>
        <w:spacing w:line="264" w:lineRule="auto"/>
        <w:jc w:val="center"/>
        <w:rPr>
          <w:b/>
          <w:sz w:val="28"/>
          <w:szCs w:val="28"/>
        </w:rPr>
      </w:pPr>
      <w:r w:rsidRPr="009E6C63">
        <w:rPr>
          <w:b/>
          <w:sz w:val="28"/>
          <w:szCs w:val="28"/>
        </w:rPr>
        <w:t>«код ДК 021:2015 - 03220000-9 «Овочі, фрукти та горіхи» (морква, цибуля, капуста білокачанна, буряк столовий)»</w:t>
      </w:r>
    </w:p>
    <w:p w14:paraId="57746458" w14:textId="77777777" w:rsidR="00F836D2" w:rsidRDefault="00F836D2" w:rsidP="002A6E82">
      <w:pPr>
        <w:spacing w:line="264" w:lineRule="auto"/>
        <w:jc w:val="center"/>
        <w:rPr>
          <w:b/>
          <w:sz w:val="28"/>
          <w:szCs w:val="28"/>
        </w:rPr>
      </w:pPr>
    </w:p>
    <w:p w14:paraId="532719CA" w14:textId="2808EC29" w:rsidR="009B33EB" w:rsidRPr="004B25E6" w:rsidRDefault="009B33EB" w:rsidP="002A6E82">
      <w:pPr>
        <w:spacing w:line="264" w:lineRule="auto"/>
        <w:jc w:val="center"/>
        <w:rPr>
          <w:b/>
          <w:bCs/>
          <w:sz w:val="28"/>
          <w:szCs w:val="28"/>
          <w:u w:val="single"/>
          <w:lang w:val="ru-RU" w:eastAsia="uk-UA"/>
        </w:rPr>
      </w:pPr>
      <w:r w:rsidRPr="00602AC8">
        <w:rPr>
          <w:b/>
          <w:bCs/>
          <w:sz w:val="28"/>
          <w:szCs w:val="28"/>
          <w:lang w:eastAsia="uk-UA"/>
        </w:rPr>
        <w:t>за процедурою</w:t>
      </w:r>
      <w:r w:rsidR="007D2332">
        <w:rPr>
          <w:b/>
          <w:bCs/>
          <w:sz w:val="28"/>
          <w:szCs w:val="28"/>
          <w:lang w:eastAsia="uk-UA"/>
        </w:rPr>
        <w:t xml:space="preserve">  </w:t>
      </w:r>
      <w:r w:rsidRPr="004B25E6">
        <w:rPr>
          <w:b/>
          <w:bCs/>
          <w:sz w:val="28"/>
          <w:szCs w:val="28"/>
          <w:u w:val="single"/>
          <w:lang w:eastAsia="uk-UA"/>
        </w:rPr>
        <w:t xml:space="preserve">відкриті торги </w:t>
      </w:r>
    </w:p>
    <w:p w14:paraId="1E153F3E" w14:textId="77777777" w:rsidR="009B33EB" w:rsidRDefault="009B33EB" w:rsidP="009B33EB">
      <w:pPr>
        <w:spacing w:line="264" w:lineRule="auto"/>
        <w:jc w:val="center"/>
        <w:rPr>
          <w:b/>
          <w:bCs/>
          <w:sz w:val="28"/>
          <w:szCs w:val="28"/>
          <w:lang w:eastAsia="uk-UA"/>
        </w:rPr>
      </w:pPr>
    </w:p>
    <w:p w14:paraId="0807BF07" w14:textId="77777777" w:rsidR="00F836D2" w:rsidRDefault="00F836D2" w:rsidP="009B33EB">
      <w:pPr>
        <w:spacing w:line="264" w:lineRule="auto"/>
        <w:jc w:val="center"/>
        <w:rPr>
          <w:b/>
          <w:bCs/>
          <w:sz w:val="28"/>
          <w:szCs w:val="28"/>
          <w:lang w:eastAsia="uk-UA"/>
        </w:rPr>
      </w:pPr>
    </w:p>
    <w:p w14:paraId="2C3817A2" w14:textId="77777777" w:rsidR="00F836D2" w:rsidRDefault="00F836D2" w:rsidP="009B33EB">
      <w:pPr>
        <w:spacing w:line="264" w:lineRule="auto"/>
        <w:jc w:val="center"/>
        <w:rPr>
          <w:b/>
          <w:bCs/>
          <w:sz w:val="28"/>
          <w:szCs w:val="28"/>
          <w:lang w:eastAsia="uk-UA"/>
        </w:rPr>
      </w:pPr>
    </w:p>
    <w:p w14:paraId="7EEF5C24" w14:textId="77777777" w:rsidR="00F836D2" w:rsidRDefault="00F836D2" w:rsidP="009B33EB">
      <w:pPr>
        <w:spacing w:line="264" w:lineRule="auto"/>
        <w:jc w:val="center"/>
        <w:rPr>
          <w:b/>
          <w:bCs/>
          <w:sz w:val="28"/>
          <w:szCs w:val="28"/>
          <w:lang w:eastAsia="uk-UA"/>
        </w:rPr>
      </w:pPr>
    </w:p>
    <w:p w14:paraId="3FAEDD6B" w14:textId="77777777" w:rsidR="00F836D2" w:rsidRDefault="00F836D2" w:rsidP="009B33EB">
      <w:pPr>
        <w:spacing w:line="264" w:lineRule="auto"/>
        <w:jc w:val="center"/>
        <w:rPr>
          <w:b/>
          <w:bCs/>
          <w:sz w:val="28"/>
          <w:szCs w:val="28"/>
          <w:lang w:eastAsia="uk-UA"/>
        </w:rPr>
      </w:pPr>
    </w:p>
    <w:p w14:paraId="327133F4" w14:textId="77777777" w:rsidR="00F836D2" w:rsidRDefault="00F836D2" w:rsidP="009B33EB">
      <w:pPr>
        <w:spacing w:line="264" w:lineRule="auto"/>
        <w:jc w:val="center"/>
        <w:rPr>
          <w:b/>
          <w:bCs/>
          <w:sz w:val="28"/>
          <w:szCs w:val="28"/>
          <w:lang w:eastAsia="uk-UA"/>
        </w:rPr>
      </w:pPr>
    </w:p>
    <w:p w14:paraId="3BE2E890" w14:textId="77777777" w:rsidR="00F836D2" w:rsidRDefault="00F836D2" w:rsidP="009B33EB">
      <w:pPr>
        <w:spacing w:line="264" w:lineRule="auto"/>
        <w:jc w:val="center"/>
        <w:rPr>
          <w:b/>
          <w:bCs/>
          <w:sz w:val="28"/>
          <w:szCs w:val="28"/>
          <w:lang w:eastAsia="uk-UA"/>
        </w:rPr>
      </w:pPr>
    </w:p>
    <w:p w14:paraId="0B00BCC0" w14:textId="77777777" w:rsidR="00F836D2" w:rsidRDefault="00F836D2" w:rsidP="009B33EB">
      <w:pPr>
        <w:spacing w:line="264" w:lineRule="auto"/>
        <w:jc w:val="center"/>
        <w:rPr>
          <w:b/>
          <w:bCs/>
          <w:sz w:val="28"/>
          <w:szCs w:val="28"/>
          <w:lang w:eastAsia="uk-UA"/>
        </w:rPr>
      </w:pPr>
    </w:p>
    <w:p w14:paraId="3655BC76" w14:textId="77777777" w:rsidR="00F836D2" w:rsidRDefault="00F836D2" w:rsidP="009B33EB">
      <w:pPr>
        <w:spacing w:line="264" w:lineRule="auto"/>
        <w:jc w:val="center"/>
        <w:rPr>
          <w:b/>
          <w:bCs/>
          <w:sz w:val="28"/>
          <w:szCs w:val="28"/>
          <w:lang w:eastAsia="uk-UA"/>
        </w:rPr>
      </w:pPr>
    </w:p>
    <w:p w14:paraId="122BC2E0" w14:textId="77777777" w:rsidR="00F836D2" w:rsidRDefault="00F836D2" w:rsidP="009B33EB">
      <w:pPr>
        <w:spacing w:line="264" w:lineRule="auto"/>
        <w:jc w:val="center"/>
        <w:rPr>
          <w:b/>
          <w:bCs/>
          <w:sz w:val="28"/>
          <w:szCs w:val="28"/>
          <w:lang w:eastAsia="uk-UA"/>
        </w:rPr>
      </w:pPr>
    </w:p>
    <w:p w14:paraId="33DFD435" w14:textId="77777777" w:rsidR="00F836D2" w:rsidRDefault="00F836D2" w:rsidP="009B33EB">
      <w:pPr>
        <w:spacing w:line="264" w:lineRule="auto"/>
        <w:jc w:val="center"/>
        <w:rPr>
          <w:b/>
          <w:bCs/>
          <w:sz w:val="28"/>
          <w:szCs w:val="28"/>
          <w:lang w:eastAsia="uk-UA"/>
        </w:rPr>
      </w:pPr>
    </w:p>
    <w:p w14:paraId="2CDCBE03" w14:textId="77777777" w:rsidR="00F836D2" w:rsidRDefault="00F836D2" w:rsidP="009B33EB">
      <w:pPr>
        <w:spacing w:line="264" w:lineRule="auto"/>
        <w:jc w:val="center"/>
        <w:rPr>
          <w:b/>
          <w:bCs/>
          <w:sz w:val="28"/>
          <w:szCs w:val="28"/>
          <w:lang w:eastAsia="uk-UA"/>
        </w:rPr>
      </w:pPr>
    </w:p>
    <w:p w14:paraId="0570E8DB" w14:textId="77777777" w:rsidR="000A2A4C" w:rsidRDefault="000A2A4C" w:rsidP="009B33EB">
      <w:pPr>
        <w:spacing w:line="264" w:lineRule="auto"/>
        <w:jc w:val="center"/>
        <w:rPr>
          <w:b/>
          <w:bCs/>
          <w:sz w:val="28"/>
          <w:szCs w:val="28"/>
          <w:lang w:eastAsia="uk-UA"/>
        </w:rPr>
      </w:pPr>
    </w:p>
    <w:p w14:paraId="637D04CB" w14:textId="5A366D1E"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Pr>
          <w:b/>
          <w:sz w:val="28"/>
          <w:szCs w:val="28"/>
          <w:lang w:val="ru-RU"/>
        </w:rPr>
        <w:t>Хмельницький</w:t>
      </w:r>
      <w:r>
        <w:rPr>
          <w:b/>
          <w:bCs/>
          <w:sz w:val="28"/>
          <w:szCs w:val="28"/>
        </w:rPr>
        <w:t xml:space="preserve"> </w:t>
      </w:r>
      <w:r w:rsidR="004B25E6">
        <w:rPr>
          <w:b/>
          <w:bCs/>
          <w:sz w:val="28"/>
          <w:szCs w:val="28"/>
        </w:rPr>
        <w:t>–</w:t>
      </w:r>
      <w:r>
        <w:rPr>
          <w:b/>
          <w:bCs/>
          <w:sz w:val="28"/>
          <w:szCs w:val="28"/>
        </w:rPr>
        <w:t xml:space="preserve"> 202</w:t>
      </w:r>
      <w:r w:rsidR="00DE2C09">
        <w:rPr>
          <w:b/>
          <w:bCs/>
          <w:sz w:val="28"/>
          <w:szCs w:val="28"/>
        </w:rPr>
        <w:t>3</w:t>
      </w:r>
    </w:p>
    <w:p w14:paraId="74D33459" w14:textId="5C358065" w:rsidR="004B25E6" w:rsidRDefault="004B25E6" w:rsidP="009B33EB">
      <w:pPr>
        <w:spacing w:line="264" w:lineRule="auto"/>
        <w:jc w:val="center"/>
        <w:rPr>
          <w:b/>
          <w:bCs/>
          <w:sz w:val="28"/>
          <w:szCs w:val="28"/>
        </w:rPr>
      </w:pPr>
    </w:p>
    <w:p w14:paraId="0B8B7C3C" w14:textId="0129BF99" w:rsidR="004B25E6" w:rsidRDefault="004B25E6" w:rsidP="009B33EB">
      <w:pPr>
        <w:spacing w:line="264" w:lineRule="auto"/>
        <w:jc w:val="center"/>
        <w:rPr>
          <w:b/>
          <w:bCs/>
          <w:sz w:val="28"/>
          <w:szCs w:val="28"/>
        </w:rPr>
      </w:pPr>
    </w:p>
    <w:p w14:paraId="39A81418" w14:textId="77777777" w:rsidR="004B25E6" w:rsidRDefault="004B25E6" w:rsidP="009B33EB">
      <w:pPr>
        <w:spacing w:line="264" w:lineRule="auto"/>
        <w:jc w:val="center"/>
        <w:rPr>
          <w:b/>
          <w:bCs/>
          <w:sz w:val="28"/>
          <w:szCs w:val="28"/>
        </w:rPr>
      </w:pPr>
    </w:p>
    <w:p w14:paraId="2AC827C6" w14:textId="77777777" w:rsidR="00195C4A" w:rsidRDefault="00195C4A" w:rsidP="009B33EB">
      <w:pPr>
        <w:spacing w:line="264" w:lineRule="auto"/>
        <w:jc w:val="center"/>
        <w:rPr>
          <w:b/>
          <w:bCs/>
          <w:sz w:val="28"/>
          <w:szCs w:val="28"/>
        </w:rPr>
      </w:pPr>
    </w:p>
    <w:p w14:paraId="5BAA927F" w14:textId="77777777" w:rsidR="00195C4A" w:rsidRPr="00912256" w:rsidRDefault="00195C4A" w:rsidP="009B33EB">
      <w:pPr>
        <w:spacing w:line="264" w:lineRule="auto"/>
        <w:jc w:val="center"/>
        <w:rPr>
          <w:b/>
          <w:bCs/>
          <w:sz w:val="28"/>
          <w:szCs w:val="28"/>
        </w:rPr>
      </w:pPr>
    </w:p>
    <w:p w14:paraId="4E2DC832" w14:textId="77777777" w:rsidR="006B4622" w:rsidRPr="006B4622" w:rsidRDefault="006B4622" w:rsidP="00716F60">
      <w:pPr>
        <w:jc w:val="center"/>
        <w:rPr>
          <w:b/>
          <w:bCs/>
          <w:sz w:val="38"/>
          <w:szCs w:val="3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1"/>
        <w:gridCol w:w="2439"/>
        <w:gridCol w:w="7492"/>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1D7EC333" w:rsidR="00E854C9" w:rsidRPr="00A05EBE" w:rsidRDefault="00070C58" w:rsidP="00A05EBE">
            <w:pPr>
              <w:rPr>
                <w:b/>
              </w:rPr>
            </w:pPr>
            <w:r w:rsidRPr="00070C58">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B89AC45" w:rsidR="00790F84" w:rsidRPr="00A23DE0" w:rsidRDefault="00070C58" w:rsidP="00D873C2">
            <w:pPr>
              <w:spacing w:line="276" w:lineRule="auto"/>
            </w:pPr>
            <w:r w:rsidRPr="00070C58">
              <w:t>29016, Україна, Хмельницька обл., місто Хмельницький, вул. Хотовицького,6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5C54FDD5" w14:textId="77777777" w:rsidR="00070C58" w:rsidRPr="00070C58" w:rsidRDefault="00070C58" w:rsidP="00070C58">
            <w:pPr>
              <w:spacing w:line="276" w:lineRule="auto"/>
              <w:rPr>
                <w:bCs/>
                <w:lang w:val="ru-RU"/>
              </w:rPr>
            </w:pPr>
            <w:proofErr w:type="gramStart"/>
            <w:r w:rsidRPr="00070C58">
              <w:rPr>
                <w:bCs/>
                <w:lang w:val="ru-RU"/>
              </w:rPr>
              <w:t>З</w:t>
            </w:r>
            <w:proofErr w:type="gramEnd"/>
            <w:r w:rsidRPr="00070C58">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439AC765" w14:textId="77777777" w:rsidR="00070C58" w:rsidRPr="00070C58" w:rsidRDefault="00070C58" w:rsidP="00070C58">
            <w:pPr>
              <w:spacing w:line="276" w:lineRule="auto"/>
              <w:rPr>
                <w:bCs/>
                <w:lang w:val="ru-RU"/>
              </w:rPr>
            </w:pPr>
            <w:r w:rsidRPr="00070C58">
              <w:rPr>
                <w:bCs/>
                <w:lang w:val="ru-RU"/>
              </w:rPr>
              <w:t>Зоряна Вандоляк, фахівець з публічних закупівель, уповноважена особа</w:t>
            </w:r>
          </w:p>
          <w:p w14:paraId="23E04090" w14:textId="77777777" w:rsidR="00070C58" w:rsidRPr="00070C58" w:rsidRDefault="00070C58" w:rsidP="00070C58">
            <w:pPr>
              <w:spacing w:line="276" w:lineRule="auto"/>
              <w:rPr>
                <w:bCs/>
                <w:lang w:val="ru-RU"/>
              </w:rPr>
            </w:pPr>
            <w:r w:rsidRPr="00070C58">
              <w:rPr>
                <w:bCs/>
                <w:lang w:val="ru-RU"/>
              </w:rPr>
              <w:t>Електронна пошта: Kmprce@ukr.net</w:t>
            </w:r>
          </w:p>
          <w:p w14:paraId="32A935A0" w14:textId="6D19AA1A" w:rsidR="00790F84" w:rsidRPr="00BC5A39" w:rsidRDefault="00070C58" w:rsidP="00070C58">
            <w:pPr>
              <w:spacing w:line="276" w:lineRule="auto"/>
              <w:rPr>
                <w:lang w:val="en-US"/>
              </w:rPr>
            </w:pPr>
            <w:r w:rsidRPr="00070C58">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492" w:type="dxa"/>
            <w:shd w:val="clear" w:color="auto" w:fill="auto"/>
          </w:tcPr>
          <w:p w14:paraId="58FEDA44" w14:textId="5C9150DD" w:rsidR="009E6C63" w:rsidRPr="009E6C63" w:rsidRDefault="009E6C63" w:rsidP="009E6C63">
            <w:pPr>
              <w:spacing w:line="276" w:lineRule="auto"/>
              <w:jc w:val="both"/>
              <w:rPr>
                <w:rFonts w:eastAsia="Andale Sans UI"/>
                <w:b/>
                <w:kern w:val="1"/>
              </w:rPr>
            </w:pPr>
            <w:r>
              <w:rPr>
                <w:rFonts w:eastAsia="Andale Sans UI"/>
                <w:b/>
                <w:kern w:val="1"/>
              </w:rPr>
              <w:t>О</w:t>
            </w:r>
            <w:r w:rsidRPr="009E6C63">
              <w:rPr>
                <w:rFonts w:eastAsia="Andale Sans UI"/>
                <w:b/>
                <w:kern w:val="1"/>
              </w:rPr>
              <w:t>вочі свіжі</w:t>
            </w:r>
          </w:p>
          <w:p w14:paraId="44085292" w14:textId="5718B9DE" w:rsidR="009E6C63" w:rsidRPr="009E6C63" w:rsidRDefault="009E6C63" w:rsidP="009E6C63">
            <w:pPr>
              <w:spacing w:line="276" w:lineRule="auto"/>
              <w:jc w:val="both"/>
              <w:rPr>
                <w:rFonts w:eastAsia="Andale Sans UI"/>
                <w:b/>
                <w:kern w:val="1"/>
              </w:rPr>
            </w:pPr>
            <w:r w:rsidRPr="009E6C63">
              <w:rPr>
                <w:rFonts w:eastAsia="Andale Sans UI"/>
                <w:b/>
                <w:kern w:val="1"/>
              </w:rPr>
              <w:t>«код ДК 021:2015 - 03220000-9 «Овочі, фрукти та горіхи» (моркв</w:t>
            </w:r>
            <w:r w:rsidR="00070C58">
              <w:rPr>
                <w:rFonts w:eastAsia="Andale Sans UI"/>
                <w:b/>
                <w:kern w:val="1"/>
              </w:rPr>
              <w:t>а, цибуля, капуста білокачанна</w:t>
            </w:r>
            <w:r w:rsidRPr="009E6C63">
              <w:rPr>
                <w:rFonts w:eastAsia="Andale Sans UI"/>
                <w:b/>
                <w:kern w:val="1"/>
              </w:rPr>
              <w:t>, буряк столовий)»</w:t>
            </w:r>
          </w:p>
          <w:p w14:paraId="68958575" w14:textId="44CBC985" w:rsidR="00C254EC" w:rsidRPr="005C0AD0" w:rsidRDefault="00C254EC" w:rsidP="00847FC5">
            <w:pPr>
              <w:spacing w:line="276" w:lineRule="auto"/>
              <w:jc w:val="both"/>
              <w:rPr>
                <w:rFonts w:eastAsia="Andale Sans UI"/>
                <w:kern w:val="1"/>
              </w:rPr>
            </w:pPr>
          </w:p>
        </w:tc>
      </w:tr>
      <w:tr w:rsidR="00790F84" w:rsidRPr="006B4622" w14:paraId="733542AF" w14:textId="77777777" w:rsidTr="00A132C4">
        <w:trPr>
          <w:trHeight w:val="522"/>
          <w:jc w:val="center"/>
        </w:trPr>
        <w:tc>
          <w:tcPr>
            <w:tcW w:w="751" w:type="dxa"/>
            <w:shd w:val="clear" w:color="auto" w:fill="auto"/>
          </w:tcPr>
          <w:p w14:paraId="351A9390" w14:textId="000834B5"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6433BF40" w14:textId="77777777" w:rsidR="00070C58" w:rsidRPr="00070C58" w:rsidRDefault="00070C58" w:rsidP="00070C58">
            <w:pPr>
              <w:pStyle w:val="Standard"/>
              <w:jc w:val="both"/>
              <w:rPr>
                <w:color w:val="auto"/>
                <w:lang w:val="uk-UA"/>
              </w:rPr>
            </w:pPr>
            <w:r w:rsidRPr="00070C58">
              <w:rPr>
                <w:color w:val="auto"/>
                <w:lang w:val="uk-UA"/>
              </w:rPr>
              <w:t>Кількість товару: відповідно до Додатку № 2 «Технічне завдання»</w:t>
            </w:r>
          </w:p>
          <w:p w14:paraId="2CF2A857" w14:textId="303CDD62" w:rsidR="00E47F23" w:rsidRPr="0034758D" w:rsidRDefault="00070C58" w:rsidP="00070C58">
            <w:r w:rsidRPr="00070C58">
              <w:t>Місце поставки: 29016 місто Хмельницький, вулиця Хотовицького,6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2B973434" w14:textId="38705860"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BE3E77">
              <w:rPr>
                <w:b/>
                <w:lang w:val="uk-UA"/>
              </w:rPr>
              <w:t>31</w:t>
            </w:r>
            <w:r>
              <w:rPr>
                <w:b/>
                <w:lang w:val="uk-UA"/>
              </w:rPr>
              <w:t>.</w:t>
            </w:r>
            <w:r w:rsidR="00070C58">
              <w:rPr>
                <w:b/>
                <w:lang w:val="uk-UA"/>
              </w:rPr>
              <w:t>03</w:t>
            </w:r>
            <w:r>
              <w:rPr>
                <w:b/>
                <w:lang w:val="uk-UA"/>
              </w:rPr>
              <w:t>.202</w:t>
            </w:r>
            <w:r w:rsidR="00514F34">
              <w:rPr>
                <w:b/>
                <w:lang w:val="uk-UA"/>
              </w:rPr>
              <w:t>3</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7D2332">
              <w:rPr>
                <w:lang w:val="ru-RU"/>
              </w:rPr>
              <w:t>1</w:t>
            </w:r>
            <w:r>
              <w:rPr>
                <w:lang w:val="ru-RU"/>
              </w:rPr>
              <w:t>.5.1.</w:t>
            </w:r>
            <w:r w:rsidR="00D620D2" w:rsidRPr="00870B36">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00D620D2" w:rsidRPr="00870B36">
              <w:t>р</w:t>
            </w:r>
            <w:proofErr w:type="gramEnd"/>
            <w:r w:rsidR="00D620D2" w:rsidRPr="00870B36">
              <w:t>івних умовах.</w:t>
            </w:r>
          </w:p>
          <w:p w14:paraId="31265C4E" w14:textId="2AEBEF1F" w:rsidR="00D620D2" w:rsidRPr="00870B36" w:rsidRDefault="007D2332" w:rsidP="00D620D2">
            <w:pPr>
              <w:ind w:left="38" w:right="34"/>
              <w:jc w:val="both"/>
            </w:pPr>
            <w:r>
              <w:t xml:space="preserve">1.5.2. </w:t>
            </w:r>
            <w:r w:rsidR="00D620D2" w:rsidRPr="00870B36">
              <w:t xml:space="preserve">Згідно п. 10 ч. 1 ст. 4 Закону України «Про санкції» від </w:t>
            </w:r>
            <w:r w:rsidR="00D620D2" w:rsidRPr="00870B36">
              <w:lastRenderedPageBreak/>
              <w:t>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5782368C"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0"/>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 xml:space="preserve">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w:t>
            </w:r>
            <w:r w:rsidRPr="00912256">
              <w:lastRenderedPageBreak/>
              <w:t>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lastRenderedPageBreak/>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w:t>
            </w:r>
            <w:r w:rsidR="005616F8" w:rsidRPr="00322954">
              <w:rPr>
                <w:rFonts w:ascii="Times New Roman" w:hAnsi="Times New Roman" w:cs="Times New Roman"/>
                <w:sz w:val="24"/>
                <w:szCs w:val="24"/>
                <w:lang w:val="uk-UA"/>
              </w:rPr>
              <w:lastRenderedPageBreak/>
              <w:t>№,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 xml:space="preserve">формальних помилок, затверджений наказом Мінекономіки </w:t>
            </w:r>
            <w:r>
              <w:rPr>
                <w:color w:val="000000"/>
              </w:rPr>
              <w:lastRenderedPageBreak/>
              <w:t>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 xml:space="preserve">і у складі тендерної пропозиції, що є сканованою копією оригіналу </w:t>
            </w:r>
            <w:r>
              <w:rPr>
                <w:color w:val="000000"/>
              </w:rPr>
              <w:lastRenderedPageBreak/>
              <w:t>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w:t>
            </w:r>
            <w:r w:rsidRPr="00770A69">
              <w:rPr>
                <w:b/>
                <w:color w:val="000000"/>
                <w:lang w:val="uk-UA"/>
              </w:rPr>
              <w:lastRenderedPageBreak/>
              <w:t xml:space="preserve">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lastRenderedPageBreak/>
              <w:t>3.5.1.</w:t>
            </w:r>
            <w:r w:rsidRPr="00322954">
              <w:rPr>
                <w:color w:val="000000"/>
                <w:lang w:val="uk-UA"/>
              </w:rPr>
              <w:t xml:space="preserve">Учасники повинні відповідати кваліфікаційним (кваліфікаційному) критеріям (у випадку застосування), визначеним </w:t>
            </w:r>
            <w:r w:rsidRPr="00322954">
              <w:rPr>
                <w:color w:val="000000"/>
                <w:lang w:val="uk-UA"/>
              </w:rPr>
              <w:lastRenderedPageBreak/>
              <w:t>ст. 16 Закону.</w:t>
            </w:r>
          </w:p>
          <w:p w14:paraId="23C5556F" w14:textId="59C7D242" w:rsidR="00322954" w:rsidRDefault="00322954" w:rsidP="00890EB1">
            <w:pPr>
              <w:pStyle w:val="aa"/>
              <w:spacing w:before="150" w:beforeAutospacing="0" w:after="150" w:afterAutospacing="0"/>
              <w:jc w:val="both"/>
              <w:rPr>
                <w:lang w:val="uk-UA"/>
              </w:rPr>
            </w:pPr>
            <w:r>
              <w:t>3.5.</w:t>
            </w:r>
            <w:r>
              <w:rPr>
                <w:lang w:val="uk-UA"/>
              </w:rPr>
              <w:t>2</w:t>
            </w:r>
            <w:r w:rsidRPr="00322954">
              <w:t xml:space="preserve">. Для </w:t>
            </w:r>
            <w:proofErr w:type="gramStart"/>
            <w:r w:rsidRPr="00322954">
              <w:t>п</w:t>
            </w:r>
            <w:proofErr w:type="gramEnd"/>
            <w:r w:rsidRPr="00322954">
              <w:t>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576"/>
            </w:tblGrid>
            <w:tr w:rsidR="003F6A3E" w:rsidRPr="00D169C5" w14:paraId="4BE8FAC1" w14:textId="77777777" w:rsidTr="003F6A3E">
              <w:tc>
                <w:tcPr>
                  <w:tcW w:w="2334" w:type="dxa"/>
                </w:tcPr>
                <w:p w14:paraId="505A6417" w14:textId="77777777" w:rsidR="003F6A3E" w:rsidRPr="00D169C5" w:rsidRDefault="003F6A3E" w:rsidP="0053261A">
                  <w:pPr>
                    <w:pStyle w:val="21"/>
                    <w:ind w:left="0" w:right="100"/>
                    <w:contextualSpacing/>
                    <w:jc w:val="center"/>
                    <w:rPr>
                      <w:b/>
                      <w:i/>
                    </w:rPr>
                  </w:pPr>
                  <w:r w:rsidRPr="00D169C5">
                    <w:rPr>
                      <w:b/>
                      <w:i/>
                    </w:rPr>
                    <w:t>Кваліфікаційний критерій</w:t>
                  </w:r>
                </w:p>
              </w:tc>
              <w:tc>
                <w:tcPr>
                  <w:tcW w:w="6576" w:type="dxa"/>
                </w:tcPr>
                <w:p w14:paraId="36BEAC69" w14:textId="77777777" w:rsidR="003F6A3E" w:rsidRPr="00D169C5" w:rsidRDefault="003F6A3E" w:rsidP="0053261A">
                  <w:pPr>
                    <w:pStyle w:val="21"/>
                    <w:ind w:left="0" w:right="100"/>
                    <w:contextualSpacing/>
                    <w:jc w:val="center"/>
                    <w:rPr>
                      <w:b/>
                      <w:i/>
                    </w:rPr>
                  </w:pPr>
                  <w:r w:rsidRPr="00D169C5">
                    <w:rPr>
                      <w:b/>
                      <w:i/>
                    </w:rPr>
                    <w:t>Документальне підтвердження</w:t>
                  </w:r>
                </w:p>
              </w:tc>
            </w:tr>
            <w:tr w:rsidR="003F6A3E" w:rsidRPr="00D169C5" w14:paraId="0C1256AB" w14:textId="77777777" w:rsidTr="003F6A3E">
              <w:tc>
                <w:tcPr>
                  <w:tcW w:w="2334" w:type="dxa"/>
                  <w:vAlign w:val="center"/>
                </w:tcPr>
                <w:p w14:paraId="43E8AA4F" w14:textId="77777777" w:rsidR="003F6A3E" w:rsidRPr="00D169C5" w:rsidRDefault="003F6A3E" w:rsidP="0053261A">
                  <w:pPr>
                    <w:ind w:right="100"/>
                    <w:contextualSpacing/>
                    <w:jc w:val="center"/>
                    <w:rPr>
                      <w:i/>
                    </w:rPr>
                  </w:pPr>
                  <w:r w:rsidRPr="00D169C5">
                    <w:rPr>
                      <w:i/>
                    </w:rPr>
                    <w:t>1. Наявність в учасника процедури закупівлі обладнання, матеріально-технічної бази та технологій</w:t>
                  </w:r>
                </w:p>
              </w:tc>
              <w:tc>
                <w:tcPr>
                  <w:tcW w:w="6576" w:type="dxa"/>
                </w:tcPr>
                <w:p w14:paraId="7822FE36" w14:textId="77777777" w:rsidR="003F6A3E" w:rsidRDefault="003F6A3E" w:rsidP="003F6A3E">
                  <w:pPr>
                    <w:pStyle w:val="21"/>
                    <w:ind w:left="0" w:right="601"/>
                    <w:contextualSpacing/>
                    <w:jc w:val="left"/>
                    <w:rPr>
                      <w:sz w:val="22"/>
                      <w:szCs w:val="22"/>
                    </w:rPr>
                  </w:pPr>
                  <w:r w:rsidRPr="003F6A3E">
                    <w:rPr>
                      <w:sz w:val="22"/>
                      <w:szCs w:val="22"/>
                    </w:rPr>
                    <w:t>1.1. Інформаційну довідку в довільній формі про</w:t>
                  </w:r>
                </w:p>
                <w:p w14:paraId="049C0BC0" w14:textId="77777777" w:rsidR="003F6A3E" w:rsidRDefault="003F6A3E" w:rsidP="003F6A3E">
                  <w:pPr>
                    <w:pStyle w:val="21"/>
                    <w:ind w:left="0" w:right="601"/>
                    <w:contextualSpacing/>
                    <w:jc w:val="left"/>
                    <w:rPr>
                      <w:sz w:val="22"/>
                      <w:szCs w:val="22"/>
                    </w:rPr>
                  </w:pPr>
                  <w:r w:rsidRPr="003F6A3E">
                    <w:rPr>
                      <w:sz w:val="22"/>
                      <w:szCs w:val="22"/>
                    </w:rPr>
                    <w:t xml:space="preserve"> наявність обладнання, матеріально-технічної бази</w:t>
                  </w:r>
                </w:p>
                <w:p w14:paraId="3ABB5B97" w14:textId="717B7B72" w:rsidR="003F6A3E" w:rsidRDefault="003F6A3E" w:rsidP="003F6A3E">
                  <w:pPr>
                    <w:pStyle w:val="21"/>
                    <w:ind w:left="0" w:right="601"/>
                    <w:contextualSpacing/>
                    <w:jc w:val="left"/>
                    <w:rPr>
                      <w:sz w:val="22"/>
                      <w:szCs w:val="22"/>
                    </w:rPr>
                  </w:pPr>
                  <w:r w:rsidRPr="003F6A3E">
                    <w:rPr>
                      <w:sz w:val="22"/>
                      <w:szCs w:val="22"/>
                    </w:rPr>
                    <w:t xml:space="preserve"> та технологій, що необхідні для забезпечення</w:t>
                  </w:r>
                </w:p>
                <w:p w14:paraId="4FDA7DA1" w14:textId="40B588CC" w:rsidR="003F6A3E" w:rsidRPr="003F6A3E" w:rsidRDefault="003F6A3E" w:rsidP="003F6A3E">
                  <w:pPr>
                    <w:pStyle w:val="21"/>
                    <w:ind w:left="0" w:right="601"/>
                    <w:contextualSpacing/>
                    <w:jc w:val="left"/>
                    <w:rPr>
                      <w:sz w:val="22"/>
                      <w:szCs w:val="22"/>
                    </w:rPr>
                  </w:pPr>
                  <w:r w:rsidRPr="003F6A3E">
                    <w:rPr>
                      <w:sz w:val="22"/>
                      <w:szCs w:val="22"/>
                    </w:rPr>
                    <w:t xml:space="preserve"> поставки продукції, що є предметом закупівлі. </w:t>
                  </w:r>
                </w:p>
              </w:tc>
            </w:tr>
            <w:tr w:rsidR="003F6A3E" w:rsidRPr="00D169C5" w14:paraId="10FDD9FA" w14:textId="77777777" w:rsidTr="003F6A3E">
              <w:tc>
                <w:tcPr>
                  <w:tcW w:w="2334" w:type="dxa"/>
                  <w:vAlign w:val="center"/>
                </w:tcPr>
                <w:p w14:paraId="3693950B" w14:textId="77777777" w:rsidR="003F6A3E" w:rsidRPr="00D169C5" w:rsidRDefault="003F6A3E" w:rsidP="0053261A">
                  <w:pPr>
                    <w:ind w:right="100"/>
                    <w:contextualSpacing/>
                    <w:jc w:val="center"/>
                    <w:rPr>
                      <w:i/>
                    </w:rPr>
                  </w:pPr>
                  <w:r w:rsidRPr="00D169C5">
                    <w:rPr>
                      <w:i/>
                    </w:rPr>
                    <w:t>2. Наявність в учасника процедури закупівлі працівників відповідної кваліфікації, які мають необхідні знання та досвід</w:t>
                  </w:r>
                </w:p>
              </w:tc>
              <w:tc>
                <w:tcPr>
                  <w:tcW w:w="6576" w:type="dxa"/>
                </w:tcPr>
                <w:p w14:paraId="0F4DC4E4" w14:textId="77777777" w:rsidR="003F6A3E" w:rsidRDefault="003F6A3E" w:rsidP="00031261">
                  <w:pPr>
                    <w:pStyle w:val="21"/>
                    <w:ind w:left="0" w:right="601"/>
                    <w:contextualSpacing/>
                    <w:jc w:val="left"/>
                    <w:rPr>
                      <w:sz w:val="22"/>
                      <w:szCs w:val="22"/>
                    </w:rPr>
                  </w:pPr>
                  <w:r w:rsidRPr="003F6A3E">
                    <w:rPr>
                      <w:sz w:val="22"/>
                      <w:szCs w:val="22"/>
                    </w:rPr>
                    <w:t>2.1. Інформаційну довідку в довільній формі про</w:t>
                  </w:r>
                </w:p>
                <w:p w14:paraId="1B6E39A5" w14:textId="29353979" w:rsidR="003F6A3E" w:rsidRDefault="003F6A3E" w:rsidP="00031261">
                  <w:pPr>
                    <w:pStyle w:val="21"/>
                    <w:ind w:left="0" w:right="601"/>
                    <w:contextualSpacing/>
                    <w:jc w:val="left"/>
                    <w:rPr>
                      <w:sz w:val="22"/>
                      <w:szCs w:val="22"/>
                    </w:rPr>
                  </w:pPr>
                  <w:r w:rsidRPr="003F6A3E">
                    <w:rPr>
                      <w:sz w:val="22"/>
                      <w:szCs w:val="22"/>
                    </w:rPr>
                    <w:t xml:space="preserve">наявність в учасника працівників відповідної </w:t>
                  </w:r>
                </w:p>
                <w:p w14:paraId="7ABC03EA" w14:textId="77777777" w:rsidR="003F6A3E" w:rsidRDefault="003F6A3E" w:rsidP="00031261">
                  <w:pPr>
                    <w:pStyle w:val="21"/>
                    <w:ind w:left="0" w:right="601"/>
                    <w:contextualSpacing/>
                    <w:jc w:val="left"/>
                    <w:rPr>
                      <w:sz w:val="22"/>
                      <w:szCs w:val="22"/>
                    </w:rPr>
                  </w:pPr>
                  <w:r w:rsidRPr="003F6A3E">
                    <w:rPr>
                      <w:sz w:val="22"/>
                      <w:szCs w:val="22"/>
                    </w:rPr>
                    <w:t>кваліфікації, які мають необхідні знання та</w:t>
                  </w:r>
                </w:p>
                <w:p w14:paraId="56C9A64E" w14:textId="79EA95BE" w:rsidR="003F6A3E" w:rsidRPr="003F6A3E" w:rsidRDefault="003F6A3E" w:rsidP="00031261">
                  <w:pPr>
                    <w:pStyle w:val="21"/>
                    <w:ind w:left="0" w:right="601"/>
                    <w:contextualSpacing/>
                    <w:jc w:val="left"/>
                    <w:rPr>
                      <w:sz w:val="22"/>
                      <w:szCs w:val="22"/>
                    </w:rPr>
                  </w:pPr>
                  <w:r w:rsidRPr="003F6A3E">
                    <w:rPr>
                      <w:sz w:val="22"/>
                      <w:szCs w:val="22"/>
                    </w:rPr>
                    <w:t>досвід, необхідних для виконання умов договору</w:t>
                  </w:r>
                </w:p>
              </w:tc>
            </w:tr>
            <w:tr w:rsidR="003F6A3E" w:rsidRPr="00D169C5" w14:paraId="14C2F72A" w14:textId="77777777" w:rsidTr="003F6A3E">
              <w:tc>
                <w:tcPr>
                  <w:tcW w:w="2334" w:type="dxa"/>
                  <w:vAlign w:val="center"/>
                </w:tcPr>
                <w:p w14:paraId="75A004EA" w14:textId="77777777" w:rsidR="003F6A3E" w:rsidRPr="00D169C5" w:rsidRDefault="003F6A3E" w:rsidP="0053261A">
                  <w:pPr>
                    <w:ind w:right="100"/>
                    <w:contextualSpacing/>
                    <w:jc w:val="center"/>
                    <w:rPr>
                      <w:i/>
                    </w:rPr>
                  </w:pPr>
                  <w:r w:rsidRPr="00D169C5">
                    <w:rPr>
                      <w:i/>
                    </w:rPr>
                    <w:t>3. Наявність документально підтвердженого досвіду виконання аналогічного (аналогічних) за предметом закупівлі договору (договорів).</w:t>
                  </w:r>
                </w:p>
              </w:tc>
              <w:tc>
                <w:tcPr>
                  <w:tcW w:w="6576" w:type="dxa"/>
                </w:tcPr>
                <w:p w14:paraId="3A217E71" w14:textId="3F9F1015" w:rsidR="00031261" w:rsidRDefault="003F6A3E" w:rsidP="00031261">
                  <w:pPr>
                    <w:pStyle w:val="21"/>
                    <w:ind w:left="0" w:right="601"/>
                    <w:contextualSpacing/>
                    <w:jc w:val="left"/>
                    <w:rPr>
                      <w:sz w:val="22"/>
                      <w:szCs w:val="22"/>
                    </w:rPr>
                  </w:pPr>
                  <w:r w:rsidRPr="00031261">
                    <w:rPr>
                      <w:sz w:val="22"/>
                      <w:szCs w:val="22"/>
                    </w:rPr>
                    <w:t xml:space="preserve">3.1. </w:t>
                  </w:r>
                  <w:r w:rsidR="00031261" w:rsidRPr="00031261">
                    <w:rPr>
                      <w:sz w:val="22"/>
                      <w:szCs w:val="22"/>
                    </w:rPr>
                    <w:t>Довідка у довільній формі, завірену підписом уповноваженої особи Учасника, яка містить</w:t>
                  </w:r>
                </w:p>
                <w:p w14:paraId="3E4811ED" w14:textId="77777777" w:rsidR="00031261" w:rsidRDefault="00031261" w:rsidP="00031261">
                  <w:pPr>
                    <w:pStyle w:val="21"/>
                    <w:ind w:left="0" w:right="601"/>
                    <w:contextualSpacing/>
                    <w:jc w:val="left"/>
                    <w:rPr>
                      <w:sz w:val="22"/>
                      <w:szCs w:val="22"/>
                    </w:rPr>
                  </w:pPr>
                  <w:r w:rsidRPr="00031261">
                    <w:rPr>
                      <w:sz w:val="22"/>
                      <w:szCs w:val="22"/>
                    </w:rPr>
                    <w:t>інформацію про повне виконання аналогічних</w:t>
                  </w:r>
                </w:p>
                <w:p w14:paraId="743A04C7" w14:textId="5F101BFD" w:rsidR="00031261" w:rsidRDefault="00031261" w:rsidP="00031261">
                  <w:pPr>
                    <w:pStyle w:val="21"/>
                    <w:ind w:left="0" w:right="601"/>
                    <w:contextualSpacing/>
                    <w:jc w:val="left"/>
                    <w:rPr>
                      <w:sz w:val="22"/>
                      <w:szCs w:val="22"/>
                    </w:rPr>
                  </w:pPr>
                  <w:r w:rsidRPr="00031261">
                    <w:rPr>
                      <w:sz w:val="22"/>
                      <w:szCs w:val="22"/>
                    </w:rPr>
                    <w:t xml:space="preserve">договорів (не менше одного)   в </w:t>
                  </w:r>
                  <w:r w:rsidR="00FF0EFB">
                    <w:rPr>
                      <w:sz w:val="22"/>
                      <w:szCs w:val="22"/>
                    </w:rPr>
                    <w:t xml:space="preserve"> </w:t>
                  </w:r>
                  <w:r w:rsidRPr="00031261">
                    <w:rPr>
                      <w:sz w:val="22"/>
                      <w:szCs w:val="22"/>
                    </w:rPr>
                    <w:t>202</w:t>
                  </w:r>
                  <w:r w:rsidR="00FF0EFB">
                    <w:rPr>
                      <w:sz w:val="22"/>
                      <w:szCs w:val="22"/>
                    </w:rPr>
                    <w:t>1</w:t>
                  </w:r>
                  <w:r w:rsidRPr="00031261">
                    <w:rPr>
                      <w:sz w:val="22"/>
                      <w:szCs w:val="22"/>
                    </w:rPr>
                    <w:t>-202</w:t>
                  </w:r>
                  <w:r w:rsidR="00FF0EFB">
                    <w:rPr>
                      <w:sz w:val="22"/>
                      <w:szCs w:val="22"/>
                    </w:rPr>
                    <w:t>2</w:t>
                  </w:r>
                  <w:r w:rsidRPr="00031261">
                    <w:rPr>
                      <w:sz w:val="22"/>
                      <w:szCs w:val="22"/>
                    </w:rPr>
                    <w:t xml:space="preserve"> р</w:t>
                  </w:r>
                  <w:r w:rsidR="00FF0EFB">
                    <w:rPr>
                      <w:sz w:val="22"/>
                      <w:szCs w:val="22"/>
                    </w:rPr>
                    <w:t>оках</w:t>
                  </w:r>
                  <w:r w:rsidRPr="00031261">
                    <w:rPr>
                      <w:sz w:val="22"/>
                      <w:szCs w:val="22"/>
                    </w:rPr>
                    <w:t>.</w:t>
                  </w:r>
                </w:p>
                <w:p w14:paraId="67050BC3" w14:textId="2464AA48" w:rsidR="00031261" w:rsidRDefault="00031261" w:rsidP="00031261">
                  <w:pPr>
                    <w:pStyle w:val="21"/>
                    <w:ind w:left="0" w:right="601"/>
                    <w:contextualSpacing/>
                    <w:jc w:val="left"/>
                    <w:rPr>
                      <w:sz w:val="22"/>
                      <w:szCs w:val="22"/>
                    </w:rPr>
                  </w:pPr>
                  <w:r w:rsidRPr="00031261">
                    <w:rPr>
                      <w:sz w:val="22"/>
                      <w:szCs w:val="22"/>
                    </w:rPr>
                    <w:t>Довідка повинна містити наступну інформацію</w:t>
                  </w:r>
                </w:p>
                <w:p w14:paraId="0B74B7C3" w14:textId="2DF44B6A" w:rsidR="00031261" w:rsidRDefault="00031261" w:rsidP="00031261">
                  <w:pPr>
                    <w:pStyle w:val="21"/>
                    <w:ind w:left="0" w:right="601"/>
                    <w:contextualSpacing/>
                    <w:jc w:val="left"/>
                    <w:rPr>
                      <w:sz w:val="22"/>
                      <w:szCs w:val="22"/>
                    </w:rPr>
                  </w:pPr>
                  <w:r w:rsidRPr="00031261">
                    <w:rPr>
                      <w:sz w:val="22"/>
                      <w:szCs w:val="22"/>
                    </w:rPr>
                    <w:t>про аналогічний договір: дату укладення</w:t>
                  </w:r>
                </w:p>
                <w:p w14:paraId="66C3CCF5" w14:textId="0FFDFC66" w:rsidR="00031261" w:rsidRDefault="00031261" w:rsidP="00031261">
                  <w:pPr>
                    <w:pStyle w:val="21"/>
                    <w:ind w:left="0" w:right="601"/>
                    <w:contextualSpacing/>
                    <w:jc w:val="left"/>
                    <w:rPr>
                      <w:sz w:val="22"/>
                      <w:szCs w:val="22"/>
                    </w:rPr>
                  </w:pPr>
                  <w:r w:rsidRPr="00031261">
                    <w:rPr>
                      <w:sz w:val="22"/>
                      <w:szCs w:val="22"/>
                    </w:rPr>
                    <w:t>договору; номер договору; предмет договору;</w:t>
                  </w:r>
                </w:p>
                <w:p w14:paraId="4969E631" w14:textId="1DC89532" w:rsidR="00031261" w:rsidRDefault="00031261" w:rsidP="00031261">
                  <w:pPr>
                    <w:pStyle w:val="21"/>
                    <w:ind w:left="0" w:right="601"/>
                    <w:contextualSpacing/>
                    <w:jc w:val="left"/>
                    <w:rPr>
                      <w:sz w:val="22"/>
                      <w:szCs w:val="22"/>
                    </w:rPr>
                  </w:pPr>
                  <w:r w:rsidRPr="00031261">
                    <w:rPr>
                      <w:sz w:val="22"/>
                      <w:szCs w:val="22"/>
                    </w:rPr>
                    <w:t>найменування контрагента (підприємства,</w:t>
                  </w:r>
                </w:p>
                <w:p w14:paraId="5DF9D09C" w14:textId="54924B77" w:rsidR="00031261" w:rsidRDefault="00031261" w:rsidP="00031261">
                  <w:pPr>
                    <w:pStyle w:val="21"/>
                    <w:ind w:left="0" w:right="601"/>
                    <w:contextualSpacing/>
                    <w:jc w:val="left"/>
                    <w:rPr>
                      <w:sz w:val="22"/>
                      <w:szCs w:val="22"/>
                    </w:rPr>
                  </w:pPr>
                  <w:r w:rsidRPr="00031261">
                    <w:rPr>
                      <w:sz w:val="22"/>
                      <w:szCs w:val="22"/>
                    </w:rPr>
                    <w:t xml:space="preserve">організації, установи, тощо), </w:t>
                  </w:r>
                </w:p>
                <w:p w14:paraId="40C4C7D0" w14:textId="17080F2E" w:rsidR="00031261" w:rsidRDefault="00031261" w:rsidP="00031261">
                  <w:pPr>
                    <w:pStyle w:val="21"/>
                    <w:ind w:left="0" w:right="601"/>
                    <w:contextualSpacing/>
                    <w:jc w:val="left"/>
                    <w:rPr>
                      <w:sz w:val="22"/>
                      <w:szCs w:val="22"/>
                    </w:rPr>
                  </w:pPr>
                  <w:r w:rsidRPr="00031261">
                    <w:rPr>
                      <w:sz w:val="22"/>
                      <w:szCs w:val="22"/>
                    </w:rPr>
                    <w:t>із зазначенням коду ЄДРПОУ контрагента,</w:t>
                  </w:r>
                </w:p>
                <w:p w14:paraId="1C351D40" w14:textId="77777777" w:rsidR="00031261" w:rsidRDefault="00031261" w:rsidP="00031261">
                  <w:pPr>
                    <w:pStyle w:val="21"/>
                    <w:ind w:left="0" w:right="601"/>
                    <w:contextualSpacing/>
                    <w:jc w:val="left"/>
                    <w:rPr>
                      <w:sz w:val="22"/>
                      <w:szCs w:val="22"/>
                    </w:rPr>
                  </w:pPr>
                  <w:r w:rsidRPr="00031261">
                    <w:rPr>
                      <w:sz w:val="22"/>
                      <w:szCs w:val="22"/>
                    </w:rPr>
                    <w:t>його адреси; прізвища ім’я по батькові контактної</w:t>
                  </w:r>
                </w:p>
                <w:p w14:paraId="40D8D28D" w14:textId="2B3B1887" w:rsidR="00031261" w:rsidRDefault="00031261" w:rsidP="00031261">
                  <w:pPr>
                    <w:pStyle w:val="21"/>
                    <w:ind w:left="0" w:right="601"/>
                    <w:contextualSpacing/>
                    <w:jc w:val="left"/>
                    <w:rPr>
                      <w:sz w:val="22"/>
                      <w:szCs w:val="22"/>
                    </w:rPr>
                  </w:pPr>
                  <w:r w:rsidRPr="00031261">
                    <w:rPr>
                      <w:sz w:val="22"/>
                      <w:szCs w:val="22"/>
                    </w:rPr>
                    <w:t>особи контрагента та контактних телефонів</w:t>
                  </w:r>
                </w:p>
                <w:p w14:paraId="1101FE1A" w14:textId="1528AB18" w:rsidR="00031261" w:rsidRPr="00031261" w:rsidRDefault="00031261" w:rsidP="00031261">
                  <w:pPr>
                    <w:pStyle w:val="21"/>
                    <w:ind w:left="0" w:right="601"/>
                    <w:contextualSpacing/>
                    <w:jc w:val="left"/>
                    <w:rPr>
                      <w:sz w:val="22"/>
                      <w:szCs w:val="22"/>
                    </w:rPr>
                  </w:pPr>
                  <w:r w:rsidRPr="00031261">
                    <w:rPr>
                      <w:sz w:val="22"/>
                      <w:szCs w:val="22"/>
                    </w:rPr>
                    <w:t>контрагента.</w:t>
                  </w:r>
                </w:p>
                <w:p w14:paraId="13E515A1" w14:textId="77777777" w:rsidR="00031261" w:rsidRDefault="00031261" w:rsidP="00031261">
                  <w:pPr>
                    <w:pStyle w:val="21"/>
                    <w:ind w:left="0" w:right="601"/>
                    <w:contextualSpacing/>
                    <w:jc w:val="left"/>
                    <w:rPr>
                      <w:sz w:val="22"/>
                      <w:szCs w:val="22"/>
                    </w:rPr>
                  </w:pPr>
                  <w:r w:rsidRPr="00031261">
                    <w:rPr>
                      <w:sz w:val="22"/>
                      <w:szCs w:val="22"/>
                    </w:rPr>
                    <w:t xml:space="preserve">За бажанням учасника може бути подано декілька аналогічних договорів. Визначальним є договір, </w:t>
                  </w:r>
                </w:p>
                <w:p w14:paraId="1268E6A9" w14:textId="77777777" w:rsidR="002A6E82" w:rsidRDefault="00031261" w:rsidP="00031261">
                  <w:pPr>
                    <w:pStyle w:val="21"/>
                    <w:ind w:left="0" w:right="601"/>
                    <w:contextualSpacing/>
                    <w:jc w:val="left"/>
                    <w:rPr>
                      <w:sz w:val="22"/>
                      <w:szCs w:val="22"/>
                    </w:rPr>
                  </w:pPr>
                  <w:r w:rsidRPr="00031261">
                    <w:rPr>
                      <w:sz w:val="22"/>
                      <w:szCs w:val="22"/>
                    </w:rPr>
                    <w:t>який підкріплений підтверджуючими документами</w:t>
                  </w:r>
                </w:p>
                <w:p w14:paraId="3C341187" w14:textId="5D659937" w:rsidR="00031261" w:rsidRPr="00031261" w:rsidRDefault="00031261" w:rsidP="00031261">
                  <w:pPr>
                    <w:pStyle w:val="21"/>
                    <w:ind w:left="0" w:right="601"/>
                    <w:contextualSpacing/>
                    <w:jc w:val="left"/>
                    <w:rPr>
                      <w:sz w:val="22"/>
                      <w:szCs w:val="22"/>
                    </w:rPr>
                  </w:pPr>
                  <w:r w:rsidRPr="00031261">
                    <w:rPr>
                      <w:sz w:val="22"/>
                      <w:szCs w:val="22"/>
                    </w:rPr>
                    <w:t>щодо його повного виконання.</w:t>
                  </w:r>
                </w:p>
                <w:p w14:paraId="1444216C" w14:textId="5FB07EEC" w:rsidR="003F6A3E" w:rsidRPr="00D169C5" w:rsidRDefault="003F6A3E" w:rsidP="003F6A3E">
                  <w:pPr>
                    <w:pStyle w:val="21"/>
                    <w:ind w:left="0" w:right="601"/>
                    <w:contextualSpacing/>
                    <w:jc w:val="left"/>
                  </w:pPr>
                </w:p>
              </w:tc>
            </w:tr>
          </w:tbl>
          <w:p w14:paraId="633FC437" w14:textId="77777777" w:rsidR="00322954" w:rsidRPr="00322954" w:rsidRDefault="00322954" w:rsidP="00890EB1">
            <w:pPr>
              <w:pStyle w:val="aa"/>
              <w:spacing w:before="150" w:beforeAutospacing="0" w:after="150" w:afterAutospacing="0"/>
              <w:jc w:val="both"/>
              <w:rPr>
                <w:lang w:val="uk-UA"/>
              </w:rPr>
            </w:pPr>
          </w:p>
          <w:p w14:paraId="348CD3E0" w14:textId="5A2524E7" w:rsidR="00FD5DD7" w:rsidRDefault="007A0D0E" w:rsidP="008146A5">
            <w:pPr>
              <w:spacing w:before="120"/>
              <w:jc w:val="both"/>
              <w:rPr>
                <w:color w:val="000000"/>
                <w:shd w:val="solid" w:color="FFFFFF" w:fill="FFFFFF"/>
                <w:lang w:eastAsia="en-US"/>
              </w:rPr>
            </w:pPr>
            <w:r>
              <w:rPr>
                <w:color w:val="000000"/>
                <w:shd w:val="solid" w:color="FFFFFF" w:fill="FFFFFF"/>
                <w:lang w:val="ru-RU" w:eastAsia="en-US"/>
              </w:rPr>
              <w:t xml:space="preserve"> 3.5.3.</w:t>
            </w:r>
            <w:r w:rsidR="00FD5DD7" w:rsidRPr="00FD5DD7">
              <w:rPr>
                <w:color w:val="000000"/>
                <w:shd w:val="solid" w:color="FFFFFF" w:fill="FFFFFF"/>
                <w:lang w:eastAsia="en-US"/>
              </w:rPr>
              <w:t>Учасник процедури закупі</w:t>
            </w:r>
            <w:proofErr w:type="gramStart"/>
            <w:r w:rsidR="00FD5DD7" w:rsidRPr="00FD5DD7">
              <w:rPr>
                <w:color w:val="000000"/>
                <w:shd w:val="solid" w:color="FFFFFF" w:fill="FFFFFF"/>
                <w:lang w:eastAsia="en-US"/>
              </w:rPr>
              <w:t>вл</w:t>
            </w:r>
            <w:proofErr w:type="gramEnd"/>
            <w:r w:rsidR="00FD5DD7" w:rsidRPr="00FD5DD7">
              <w:rPr>
                <w:color w:val="000000"/>
                <w:shd w:val="solid" w:color="FFFFFF" w:fill="FFFFFF"/>
                <w:lang w:eastAsia="en-US"/>
              </w:rPr>
              <w:t>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Pr>
                <w:color w:val="000000"/>
                <w:shd w:val="solid" w:color="FFFFFF" w:fill="FFFFFF"/>
              </w:rPr>
              <w:t>3.5.5.</w:t>
            </w:r>
            <w:r w:rsidR="007A0D0E" w:rsidRPr="007A0D0E">
              <w:rPr>
                <w:color w:val="000000"/>
                <w:shd w:val="solid" w:color="FFFFFF" w:fill="FFFFFF"/>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 xml:space="preserve">Замовник приймає рішення про відмову учаснику в участі у </w:t>
            </w:r>
            <w:r w:rsidR="007A0D0E" w:rsidRPr="007A0D0E">
              <w:rPr>
                <w:color w:val="000000"/>
                <w:shd w:val="solid" w:color="FFFFFF" w:fill="FFFFFF"/>
              </w:rPr>
              <w:lastRenderedPageBreak/>
              <w:t>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w:t>
            </w:r>
            <w:r w:rsidRPr="007A0D0E">
              <w:rPr>
                <w:color w:val="000000"/>
                <w:shd w:val="solid" w:color="FFFFFF" w:fill="FFFFFF"/>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DEE5F6" w14:textId="371ED730"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5F8EA7FD"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8</w:t>
            </w:r>
            <w:r>
              <w:rPr>
                <w:color w:val="000000"/>
                <w:shd w:val="solid" w:color="FFFFFF" w:fill="FFFFFF"/>
              </w:rPr>
              <w:t>.</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ECF8B71" w:rsidR="00134FD3" w:rsidRPr="00134FD3" w:rsidRDefault="00C1788B" w:rsidP="00134FD3">
            <w:pPr>
              <w:spacing w:before="120"/>
              <w:jc w:val="both"/>
              <w:rPr>
                <w:color w:val="000000"/>
                <w:shd w:val="solid" w:color="FFFFFF" w:fill="FFFFFF"/>
              </w:rPr>
            </w:pPr>
            <w:r>
              <w:rPr>
                <w:color w:val="000000"/>
                <w:shd w:val="solid" w:color="FFFFFF" w:fill="FFFFFF"/>
              </w:rPr>
              <w:t>3.5.9.</w:t>
            </w:r>
            <w:r w:rsidR="00134FD3" w:rsidRPr="00134FD3">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134FD3" w:rsidRPr="00134FD3">
              <w:rPr>
                <w:color w:val="000000"/>
                <w:shd w:val="solid" w:color="FFFFFF" w:fill="FFFFFF"/>
              </w:rPr>
              <w:lastRenderedPageBreak/>
              <w:t>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C1788B" w:rsidRDefault="00134FD3" w:rsidP="00134FD3">
            <w:pPr>
              <w:spacing w:before="120"/>
              <w:jc w:val="both"/>
              <w:rPr>
                <w:color w:val="000000"/>
                <w:u w:val="single"/>
                <w:shd w:val="solid" w:color="FFFFFF" w:fill="FFFFFF"/>
              </w:rPr>
            </w:pPr>
            <w:r w:rsidRPr="00134FD3">
              <w:rPr>
                <w:color w:val="000000"/>
                <w:shd w:val="solid" w:color="FFFFFF" w:fill="FFFFFF"/>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C1788B">
              <w:rPr>
                <w:color w:val="000000"/>
                <w:u w:val="single"/>
                <w:shd w:val="solid" w:color="FFFFFF" w:fill="FFFFFF"/>
              </w:rPr>
              <w:t>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3.5.11. В разі неможливості надання учасником будь-якого документа в складі тендерної пропозиції, через його відсутність в нього </w:t>
            </w:r>
            <w:r w:rsidRPr="00134FD3">
              <w:rPr>
                <w:color w:val="000000"/>
                <w:shd w:val="solid" w:color="FFFFFF" w:fill="FFFFFF"/>
              </w:rPr>
              <w:lastRenderedPageBreak/>
              <w:t>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1" w:name="n1434"/>
            <w:bookmarkEnd w:id="1"/>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2" w:name="_Hlk115298070"/>
            <w:r w:rsidRPr="00870B36">
              <w:t>6</w:t>
            </w:r>
            <w:r w:rsidRPr="00870B36">
              <w:rPr>
                <w:vertAlign w:val="superscript"/>
              </w:rPr>
              <w:t>1</w:t>
            </w:r>
            <w:bookmarkEnd w:id="2"/>
            <w:r w:rsidRPr="00870B36">
              <w:t xml:space="preserve"> </w:t>
            </w:r>
            <w:bookmarkStart w:id="3" w:name="_Hlk115298057"/>
            <w:r w:rsidRPr="00870B36">
              <w:t>Розділу X «ПРИКІНЦЕВІ ТА ПЕРЕХІДНІ ПОЛОЖЕННЯ» Закону України «Про публічні закупівлі»</w:t>
            </w:r>
            <w:bookmarkEnd w:id="3"/>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4" w:name="_Hlk115298744"/>
            <w:r w:rsidRPr="00870B36">
              <w:t xml:space="preserve">частини третьої статті 7 Закону України «Про енергетичну ефективність» </w:t>
            </w:r>
            <w:bookmarkEnd w:id="4"/>
            <w:r w:rsidRPr="00870B36">
              <w:t xml:space="preserve">Замовник вказує, що </w:t>
            </w:r>
            <w:r w:rsidRPr="00870B36">
              <w:rPr>
                <w:shd w:val="clear" w:color="auto" w:fill="FFFFFF"/>
              </w:rPr>
              <w:t xml:space="preserve">у випадку закупівлі </w:t>
            </w:r>
            <w:bookmarkStart w:id="5" w:name="_Hlk115298718"/>
            <w:r w:rsidRPr="00870B36">
              <w:rPr>
                <w:shd w:val="clear" w:color="auto" w:fill="FFFFFF"/>
              </w:rPr>
              <w:t>енергоспоживчої продукції (товарів)</w:t>
            </w:r>
            <w:bookmarkEnd w:id="5"/>
            <w:r w:rsidRPr="00870B36">
              <w:rPr>
                <w:shd w:val="clear" w:color="auto" w:fill="FFFFFF"/>
              </w:rPr>
              <w:t xml:space="preserve">, вимоги до якої визначені в законодавстві щодо енергетичного маркування, екологічного маркування та екодизайну, клас енергетичної ефективності такої </w:t>
            </w:r>
            <w:r w:rsidRPr="00870B36">
              <w:rPr>
                <w:shd w:val="clear" w:color="auto" w:fill="FFFFFF"/>
              </w:rPr>
              <w:lastRenderedPageBreak/>
              <w:t>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w:t>
            </w:r>
            <w:proofErr w:type="gramStart"/>
            <w:r w:rsidRPr="005C6A7D">
              <w:t>вл</w:t>
            </w:r>
            <w:proofErr w:type="gramEnd"/>
            <w:r w:rsidRPr="005C6A7D">
              <w:t>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537CCA11" w14:textId="679B083B" w:rsidR="0086338D" w:rsidRPr="006468F8" w:rsidRDefault="0086338D" w:rsidP="0086338D">
            <w:pPr>
              <w:widowControl w:val="0"/>
              <w:ind w:left="34" w:right="113"/>
              <w:contextualSpacing/>
              <w:jc w:val="both"/>
              <w:rPr>
                <w:b/>
                <w:lang w:val="ru-RU"/>
              </w:rPr>
            </w:pPr>
            <w:bookmarkStart w:id="6"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6"/>
            <w:r w:rsidR="00E90021" w:rsidRPr="002217ED">
              <w:t>тендерних про</w:t>
            </w:r>
            <w:r w:rsidR="002217ED" w:rsidRPr="002217ED">
              <w:t xml:space="preserve">позицій </w:t>
            </w:r>
            <w:r w:rsidR="00E90021" w:rsidRPr="006468F8">
              <w:rPr>
                <w:b/>
                <w:lang w:val="ru-RU"/>
              </w:rPr>
              <w:t>«</w:t>
            </w:r>
            <w:r w:rsidR="00847FC5">
              <w:rPr>
                <w:b/>
                <w:lang w:val="ru-RU"/>
              </w:rPr>
              <w:t>0</w:t>
            </w:r>
            <w:r w:rsidR="00070C58">
              <w:rPr>
                <w:b/>
                <w:lang w:val="ru-RU"/>
              </w:rPr>
              <w:t>2</w:t>
            </w:r>
            <w:bookmarkStart w:id="7" w:name="_GoBack"/>
            <w:bookmarkEnd w:id="7"/>
            <w:r w:rsidRPr="006468F8">
              <w:rPr>
                <w:b/>
                <w:lang w:val="ru-RU"/>
              </w:rPr>
              <w:t xml:space="preserve">» </w:t>
            </w:r>
            <w:r w:rsidR="009E6C63">
              <w:rPr>
                <w:b/>
                <w:lang w:val="ru-RU"/>
              </w:rPr>
              <w:t>лютого</w:t>
            </w:r>
            <w:r w:rsidRPr="006468F8">
              <w:rPr>
                <w:b/>
                <w:lang w:val="ru-RU"/>
              </w:rPr>
              <w:t xml:space="preserve"> </w:t>
            </w:r>
            <w:r w:rsidRPr="006468F8">
              <w:rPr>
                <w:b/>
              </w:rPr>
              <w:t>202</w:t>
            </w:r>
            <w:r w:rsidR="00847FC5">
              <w:rPr>
                <w:b/>
              </w:rPr>
              <w:t>3</w:t>
            </w:r>
            <w:r w:rsidR="00E77A48" w:rsidRPr="006468F8">
              <w:rPr>
                <w:b/>
              </w:rPr>
              <w:t xml:space="preserve"> </w:t>
            </w:r>
            <w:r w:rsidRPr="006468F8">
              <w:rPr>
                <w:b/>
                <w:lang w:val="ru-RU"/>
              </w:rPr>
              <w:t>р</w:t>
            </w:r>
            <w:r w:rsidR="00E77A48" w:rsidRPr="006468F8">
              <w:rPr>
                <w:b/>
                <w:lang w:val="ru-RU"/>
              </w:rPr>
              <w:t>оку о 1</w:t>
            </w:r>
            <w:r w:rsidR="00A5469D" w:rsidRPr="006468F8">
              <w:rPr>
                <w:b/>
                <w:lang w:val="ru-RU"/>
              </w:rPr>
              <w:t>2</w:t>
            </w:r>
            <w:r w:rsidR="00E77A48" w:rsidRPr="006468F8">
              <w:rPr>
                <w:b/>
                <w:lang w:val="ru-RU"/>
              </w:rPr>
              <w:t>:00 год.</w:t>
            </w:r>
          </w:p>
          <w:p w14:paraId="7560DC9E" w14:textId="77777777" w:rsidR="0086338D" w:rsidRDefault="0086338D" w:rsidP="0086338D">
            <w:pPr>
              <w:pStyle w:val="aa"/>
              <w:spacing w:before="150" w:beforeAutospacing="0" w:after="150" w:afterAutospacing="0"/>
              <w:jc w:val="both"/>
            </w:pPr>
            <w:r>
              <w:rPr>
                <w:color w:val="000000"/>
              </w:rPr>
              <w:t xml:space="preserve">Тендерні пропозиції </w:t>
            </w:r>
            <w:proofErr w:type="gramStart"/>
            <w:r>
              <w:rPr>
                <w:color w:val="000000"/>
              </w:rPr>
              <w:t>п</w:t>
            </w:r>
            <w:proofErr w:type="gramEnd"/>
            <w:r>
              <w:rPr>
                <w:color w:val="000000"/>
              </w:rPr>
              <w:t xml:space="preserve">ісля закінчення кінцевого строку їх подання не </w:t>
            </w:r>
            <w:r>
              <w:rPr>
                <w:color w:val="000000"/>
              </w:rPr>
              <w:lastRenderedPageBreak/>
              <w:t>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lastRenderedPageBreak/>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5AB6402E" w14:textId="77777777" w:rsidR="0086338D" w:rsidRPr="001F2DE5" w:rsidRDefault="0086338D" w:rsidP="0086338D">
            <w:pPr>
              <w:pStyle w:val="aa"/>
              <w:spacing w:before="150" w:beforeAutospacing="0" w:after="150" w:afterAutospacing="0"/>
              <w:jc w:val="both"/>
              <w:rPr>
                <w:lang w:val="uk-UA"/>
              </w:rPr>
            </w:pPr>
            <w:r w:rsidRPr="001F2DE5">
              <w:rPr>
                <w:color w:val="000000"/>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C9127C" w14:textId="77777777" w:rsidR="0086338D" w:rsidRDefault="0086338D" w:rsidP="0086338D">
            <w:pPr>
              <w:pStyle w:val="aa"/>
              <w:spacing w:before="150" w:beforeAutospacing="0" w:after="150" w:afterAutospacing="0"/>
              <w:jc w:val="both"/>
            </w:pPr>
            <w:r>
              <w:rPr>
                <w:color w:val="000000"/>
              </w:rPr>
              <w:t>Для проведення відкритих торгів із застосуванням електронного аукціону повинно бути подано не менше двох тендерних пропозицій.</w:t>
            </w:r>
          </w:p>
          <w:p w14:paraId="68D6D67E" w14:textId="77777777" w:rsidR="0086338D" w:rsidRPr="006B4622" w:rsidRDefault="0086338D" w:rsidP="0080459B">
            <w:pPr>
              <w:widowControl w:val="0"/>
              <w:spacing w:after="60"/>
              <w:ind w:right="113"/>
              <w:contextualSpacing/>
              <w:jc w:val="both"/>
            </w:pPr>
            <w:r w:rsidRPr="002217ED">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16C43F85" w14:textId="77777777" w:rsidR="0086338D" w:rsidRPr="00383981" w:rsidRDefault="0086338D" w:rsidP="0086338D">
            <w:pPr>
              <w:pStyle w:val="aa"/>
              <w:spacing w:before="0" w:after="0"/>
              <w:ind w:left="60" w:right="126"/>
              <w:jc w:val="both"/>
              <w:rPr>
                <w:shd w:val="clear" w:color="auto" w:fill="FFFFFF"/>
                <w:lang w:val="uk-UA"/>
              </w:rPr>
            </w:pPr>
            <w:bookmarkStart w:id="8" w:name="n480"/>
            <w:bookmarkStart w:id="9" w:name="n481"/>
            <w:bookmarkEnd w:id="8"/>
            <w:bookmarkEnd w:id="9"/>
            <w:r w:rsidRPr="00383981">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01C59954" w14:textId="77777777" w:rsidR="0096554C" w:rsidRDefault="00336453" w:rsidP="0096554C">
            <w:pPr>
              <w:spacing w:before="120"/>
              <w:jc w:val="both"/>
              <w:rPr>
                <w:color w:val="000000"/>
                <w:shd w:val="solid" w:color="FFFFFF" w:fill="FFFFFF"/>
                <w:lang w:val="ru-RU" w:eastAsia="en-US"/>
              </w:rPr>
            </w:pPr>
            <w:r w:rsidRPr="00383981">
              <w:rPr>
                <w:color w:val="000000"/>
                <w:shd w:val="solid" w:color="FFFFFF" w:fill="FFFFFF"/>
                <w:lang w:eastAsia="en-US"/>
              </w:rPr>
              <w:t>Електронний аукціон проводиться електронною системою закупівель відповідно до статті 30 Закону</w:t>
            </w:r>
            <w:r w:rsidR="001143AA">
              <w:rPr>
                <w:color w:val="000000"/>
                <w:shd w:val="solid" w:color="FFFFFF" w:fill="FFFFFF"/>
                <w:lang w:val="ru-RU" w:eastAsia="en-US"/>
              </w:rPr>
              <w:t>.</w:t>
            </w:r>
          </w:p>
          <w:p w14:paraId="1497CDFC" w14:textId="77777777" w:rsidR="001143AA" w:rsidRPr="0096554C" w:rsidRDefault="001143AA" w:rsidP="0096554C">
            <w:pPr>
              <w:spacing w:before="120"/>
              <w:jc w:val="both"/>
              <w:rPr>
                <w:color w:val="000000"/>
                <w:shd w:val="solid" w:color="FFFFFF" w:fill="FFFFFF"/>
                <w:lang w:val="ru-RU" w:eastAsia="en-US"/>
              </w:rPr>
            </w:pPr>
          </w:p>
          <w:p w14:paraId="1EC6054F" w14:textId="77777777" w:rsidR="0096554C" w:rsidRDefault="0086338D" w:rsidP="0086338D">
            <w:pPr>
              <w:ind w:left="60" w:right="126"/>
              <w:jc w:val="both"/>
            </w:pPr>
            <w:r w:rsidRPr="00383981">
              <w:t xml:space="preserve">Єдиним критерієм оцінки згідно даної процедури відкритих торгів є ціна (питома вага критерію – 100%). </w:t>
            </w:r>
            <w:r w:rsidR="0096554C">
              <w:rPr>
                <w:lang w:val="ru-RU"/>
              </w:rPr>
              <w:t xml:space="preserve"> </w:t>
            </w:r>
            <w:r w:rsidRPr="00383981">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2DC65A21" w14:textId="77777777" w:rsidR="001143AA" w:rsidRDefault="001143AA" w:rsidP="0086338D">
            <w:pPr>
              <w:ind w:left="60" w:right="126"/>
              <w:jc w:val="both"/>
            </w:pPr>
          </w:p>
          <w:p w14:paraId="2D7C60D5" w14:textId="77777777" w:rsidR="0086338D" w:rsidRDefault="0086338D" w:rsidP="0086338D">
            <w:pPr>
              <w:ind w:left="60" w:right="126"/>
              <w:jc w:val="both"/>
            </w:pPr>
            <w:r w:rsidRPr="00383981">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79B91BD" w14:textId="77777777" w:rsidR="001143AA" w:rsidRPr="00383981" w:rsidRDefault="001143AA" w:rsidP="0086338D">
            <w:pPr>
              <w:ind w:left="60" w:right="126"/>
              <w:jc w:val="both"/>
              <w:rPr>
                <w:shd w:val="clear" w:color="auto" w:fill="FFFFFF"/>
              </w:rPr>
            </w:pPr>
          </w:p>
          <w:p w14:paraId="4632C8A4" w14:textId="77777777" w:rsidR="0096554C" w:rsidRDefault="0086338D" w:rsidP="0086338D">
            <w:pPr>
              <w:ind w:left="60" w:right="126"/>
              <w:jc w:val="both"/>
              <w:rPr>
                <w:shd w:val="clear" w:color="auto" w:fill="FFFFFF"/>
              </w:rPr>
            </w:pPr>
            <w:r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77777777" w:rsidR="0086338D" w:rsidRDefault="0086338D" w:rsidP="0086338D">
            <w:pPr>
              <w:ind w:left="60" w:right="126"/>
              <w:jc w:val="both"/>
              <w:rPr>
                <w:shd w:val="clear" w:color="auto" w:fill="FFFFFF"/>
              </w:rPr>
            </w:pPr>
            <w:r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96554C">
              <w:rPr>
                <w:b/>
                <w:shd w:val="clear" w:color="auto" w:fill="FFFFFF"/>
              </w:rPr>
              <w:t>п’яти робочих днів</w:t>
            </w:r>
            <w:r w:rsidRPr="00383981">
              <w:rPr>
                <w:shd w:val="clear" w:color="auto" w:fill="FFFFFF"/>
              </w:rPr>
              <w:t xml:space="preserve"> з дня визначення найбільш </w:t>
            </w:r>
            <w:r w:rsidRPr="00383981">
              <w:rPr>
                <w:shd w:val="clear" w:color="auto" w:fill="FFFFFF"/>
              </w:rPr>
              <w:lastRenderedPageBreak/>
              <w:t xml:space="preserve">економічно вигідної пропозиції. Строк розгляду тендерної пропозиції може бути аргументовано продовжено замовником </w:t>
            </w:r>
            <w:r w:rsidRPr="0096554C">
              <w:rPr>
                <w:b/>
                <w:shd w:val="clear" w:color="auto" w:fill="FFFFFF"/>
              </w:rPr>
              <w:t>до 20 робочих днів.</w:t>
            </w:r>
            <w:r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77777777" w:rsidR="0086338D" w:rsidRDefault="0096554C" w:rsidP="0086338D">
            <w:pPr>
              <w:ind w:left="60" w:right="126"/>
              <w:jc w:val="both"/>
              <w:rPr>
                <w:shd w:val="clear" w:color="auto" w:fill="FFFFFF"/>
              </w:rPr>
            </w:pPr>
            <w:r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w:t>
            </w:r>
            <w:r w:rsidRPr="00D72C3F">
              <w:rPr>
                <w:color w:val="000000"/>
                <w:shd w:val="solid" w:color="FFFFFF" w:fill="FFFFFF"/>
                <w:lang w:eastAsia="en-US"/>
              </w:rPr>
              <w:t>(крім пункту 13 частини першої статті 17 Закону)</w:t>
            </w:r>
            <w:r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77777777" w:rsidR="007F70BD" w:rsidRPr="00383981" w:rsidRDefault="007F70BD" w:rsidP="007F70BD">
            <w:pPr>
              <w:ind w:left="60" w:right="126"/>
              <w:jc w:val="both"/>
            </w:pPr>
            <w:r w:rsidRPr="00383981">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73A037" w14:textId="77777777" w:rsidR="007F70BD" w:rsidRPr="00383981" w:rsidRDefault="007F70BD" w:rsidP="007F70BD">
            <w:pPr>
              <w:ind w:left="60" w:right="126"/>
              <w:jc w:val="both"/>
            </w:pPr>
            <w:r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2D60DB6" w14:textId="77777777" w:rsidR="007F70BD" w:rsidRPr="00383981" w:rsidRDefault="007F70BD" w:rsidP="007F70BD">
            <w:pPr>
              <w:ind w:left="60" w:right="126"/>
              <w:jc w:val="both"/>
            </w:pPr>
            <w:r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8D8CDA4" w14:textId="77777777" w:rsidR="007F70BD" w:rsidRPr="00383981" w:rsidRDefault="007F70BD" w:rsidP="007F70BD">
            <w:pPr>
              <w:ind w:left="60" w:right="126"/>
              <w:jc w:val="both"/>
            </w:pPr>
            <w:r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77777777" w:rsidR="00336453" w:rsidRPr="00383981" w:rsidRDefault="00336453" w:rsidP="00336453">
            <w:pPr>
              <w:spacing w:before="120" w:line="230" w:lineRule="auto"/>
              <w:ind w:firstLine="567"/>
              <w:jc w:val="both"/>
              <w:rPr>
                <w:color w:val="000000"/>
                <w:shd w:val="solid" w:color="FFFFFF" w:fill="FFFFFF"/>
              </w:rPr>
            </w:pPr>
            <w:r w:rsidRPr="00383981">
              <w:rPr>
                <w:color w:val="000000"/>
                <w:shd w:val="solid" w:color="FFFFFF" w:fill="FFFFFF"/>
                <w:lang w:eastAsia="en-US"/>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43AA">
              <w:rPr>
                <w:b/>
                <w:color w:val="000000"/>
                <w:shd w:val="solid" w:color="FFFFFF" w:fill="FFFFFF"/>
                <w:lang w:eastAsia="en-US"/>
              </w:rPr>
              <w:t>два робочі дні</w:t>
            </w:r>
            <w:r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77777777" w:rsidR="00336453" w:rsidRPr="00383981" w:rsidRDefault="00336453" w:rsidP="00336453">
            <w:pPr>
              <w:pStyle w:val="aa"/>
              <w:shd w:val="clear" w:color="auto" w:fill="FFFFFF"/>
              <w:spacing w:before="120" w:beforeAutospacing="0" w:after="0" w:afterAutospacing="0" w:line="230" w:lineRule="auto"/>
              <w:ind w:firstLine="567"/>
              <w:jc w:val="both"/>
              <w:rPr>
                <w:lang w:val="uk-UA"/>
              </w:rPr>
            </w:pPr>
            <w:r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77777777" w:rsidR="00336453" w:rsidRDefault="00336453" w:rsidP="001143AA">
            <w:pPr>
              <w:spacing w:before="120" w:line="230" w:lineRule="auto"/>
              <w:ind w:firstLine="567"/>
              <w:jc w:val="both"/>
              <w:rPr>
                <w:color w:val="000000"/>
                <w:shd w:val="solid" w:color="FFFFFF" w:fill="FFFFFF"/>
                <w:lang w:eastAsia="en-US"/>
              </w:rPr>
            </w:pPr>
            <w:r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77777777" w:rsidR="00857F5C" w:rsidRDefault="00857F5C" w:rsidP="00857F5C">
            <w:pPr>
              <w:ind w:right="126"/>
              <w:jc w:val="both"/>
            </w:pPr>
            <w:r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7777777" w:rsidR="00857F5C" w:rsidRDefault="00857F5C" w:rsidP="00857F5C">
            <w:pPr>
              <w:ind w:right="126"/>
              <w:jc w:val="both"/>
              <w:rPr>
                <w:lang w:val="ru-RU"/>
              </w:rPr>
            </w:pPr>
            <w:r w:rsidRPr="00870B36">
              <w:t>Замовник розглядає подані тендерні пропозиції з урахуванням виправлення або невиправлення учасниками виявлених невідповідностей</w:t>
            </w:r>
            <w:r>
              <w:rPr>
                <w:lang w:val="ru-RU"/>
              </w:rPr>
              <w:t xml:space="preserve">. </w:t>
            </w:r>
          </w:p>
          <w:p w14:paraId="130936BA" w14:textId="77777777" w:rsidR="00857F5C" w:rsidRDefault="00857F5C" w:rsidP="00857F5C">
            <w:pPr>
              <w:ind w:right="126"/>
              <w:jc w:val="both"/>
              <w:rPr>
                <w:shd w:val="clear" w:color="auto" w:fill="FFFFFF"/>
              </w:rPr>
            </w:pPr>
          </w:p>
          <w:p w14:paraId="63853E3B" w14:textId="77777777" w:rsidR="00857F5C" w:rsidRPr="00857F5C" w:rsidRDefault="00857F5C" w:rsidP="00857F5C">
            <w:pPr>
              <w:ind w:right="126"/>
              <w:jc w:val="both"/>
            </w:pPr>
            <w:r w:rsidRPr="00870B36">
              <w:rPr>
                <w:shd w:val="clear" w:color="auto" w:fill="FFFFFF"/>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w:t>
            </w:r>
            <w:proofErr w:type="gramStart"/>
            <w:r>
              <w:rPr>
                <w:color w:val="000000"/>
              </w:rPr>
              <w:t>вл</w:t>
            </w:r>
            <w:proofErr w:type="gramEnd"/>
            <w:r>
              <w:rPr>
                <w:color w:val="000000"/>
              </w:rPr>
              <w:t>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 xml:space="preserve">зазначив у тендерній пропозиції недостовірну інформацію, що є суттєвою для визначення результатів </w:t>
            </w:r>
            <w:proofErr w:type="gramStart"/>
            <w:r>
              <w:rPr>
                <w:color w:val="000000"/>
              </w:rPr>
              <w:t>в</w:t>
            </w:r>
            <w:proofErr w:type="gramEnd"/>
            <w:r>
              <w:rPr>
                <w:color w:val="000000"/>
              </w:rPr>
              <w:t>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 xml:space="preserve">не виправив виявлені замовником </w:t>
            </w:r>
            <w:proofErr w:type="gramStart"/>
            <w:r>
              <w:rPr>
                <w:color w:val="000000"/>
              </w:rPr>
              <w:t>п</w:t>
            </w:r>
            <w:proofErr w:type="gramEnd"/>
            <w:r>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77777777" w:rsidR="0086338D" w:rsidRDefault="0086338D" w:rsidP="0086338D">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w:t>
            </w:r>
            <w:proofErr w:type="gramStart"/>
            <w:r>
              <w:rPr>
                <w:color w:val="000000"/>
              </w:rPr>
              <w:t xml:space="preserve"> Р</w:t>
            </w:r>
            <w:proofErr w:type="gramEnd"/>
            <w:r>
              <w:rPr>
                <w:color w:val="000000"/>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Pr>
                <w:color w:val="000000"/>
              </w:rPr>
              <w:t>п</w:t>
            </w:r>
            <w:proofErr w:type="gramEnd"/>
            <w:r>
              <w:rPr>
                <w:color w:val="000000"/>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000000"/>
              </w:rPr>
              <w:t>вл</w:t>
            </w:r>
            <w:proofErr w:type="gramEnd"/>
            <w:r>
              <w:rPr>
                <w:color w:val="000000"/>
              </w:rPr>
              <w:t>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 xml:space="preserve">не відповідає умовам </w:t>
            </w:r>
            <w:proofErr w:type="gramStart"/>
            <w:r>
              <w:rPr>
                <w:color w:val="000000"/>
              </w:rPr>
              <w:t>техн</w:t>
            </w:r>
            <w:proofErr w:type="gramEnd"/>
            <w:r>
              <w:rPr>
                <w:color w:val="000000"/>
              </w:rPr>
              <w:t>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викладена іншою мовою (мовами), </w:t>
            </w:r>
            <w:proofErr w:type="gramStart"/>
            <w:r>
              <w:rPr>
                <w:color w:val="000000"/>
              </w:rPr>
              <w:t>ніж</w:t>
            </w:r>
            <w:proofErr w:type="gramEnd"/>
            <w:r>
              <w:rPr>
                <w:color w:val="000000"/>
              </w:rPr>
              <w:t xml:space="preserve">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w:t>
            </w:r>
            <w:proofErr w:type="gramStart"/>
            <w:r>
              <w:rPr>
                <w:color w:val="000000"/>
              </w:rPr>
              <w:t>вл</w:t>
            </w:r>
            <w:proofErr w:type="gramEnd"/>
            <w:r>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rPr>
              <w:t>ніж</w:t>
            </w:r>
            <w:proofErr w:type="gramEnd"/>
            <w:r>
              <w:rPr>
                <w:color w:val="000000"/>
              </w:rPr>
              <w:t xml:space="preserve">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lastRenderedPageBreak/>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w:t>
            </w:r>
            <w:proofErr w:type="gramStart"/>
            <w:r>
              <w:rPr>
                <w:color w:val="000000"/>
              </w:rPr>
              <w:t>вл</w:t>
            </w:r>
            <w:proofErr w:type="gramEnd"/>
            <w:r>
              <w:rPr>
                <w:color w:val="000000"/>
              </w:rPr>
              <w:t>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w:t>
            </w:r>
            <w:proofErr w:type="gramStart"/>
            <w:r>
              <w:rPr>
                <w:color w:val="000000"/>
              </w:rPr>
              <w:t>у</w:t>
            </w:r>
            <w:proofErr w:type="gramEnd"/>
            <w:r>
              <w:rPr>
                <w:color w:val="000000"/>
              </w:rPr>
              <w:t xml:space="preserve">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w:t>
            </w:r>
            <w:proofErr w:type="gramStart"/>
            <w:r>
              <w:rPr>
                <w:color w:val="000000"/>
              </w:rPr>
              <w:t>вл</w:t>
            </w:r>
            <w:proofErr w:type="gramEnd"/>
            <w:r>
              <w:rPr>
                <w:color w:val="000000"/>
              </w:rPr>
              <w:t>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w:t>
            </w:r>
            <w:proofErr w:type="gramStart"/>
            <w:r>
              <w:rPr>
                <w:color w:val="000000"/>
              </w:rPr>
              <w:t>вл</w:t>
            </w:r>
            <w:proofErr w:type="gramEnd"/>
            <w:r>
              <w:rPr>
                <w:color w:val="000000"/>
              </w:rPr>
              <w:t>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 xml:space="preserve">Інформація про відхилення тендерної пропозиції, у тому числі </w:t>
            </w:r>
            <w:proofErr w:type="gramStart"/>
            <w:r>
              <w:t>п</w:t>
            </w:r>
            <w:proofErr w:type="gramEnd"/>
            <w: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t>вл</w:t>
            </w:r>
            <w:proofErr w:type="gramEnd"/>
            <w:r>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3B397DEA" w:rsidR="00E308F6" w:rsidRDefault="00E308F6" w:rsidP="0086338D">
            <w:pPr>
              <w:widowControl w:val="0"/>
              <w:contextualSpacing/>
              <w:rPr>
                <w:b/>
                <w:lang w:eastAsia="uk-UA"/>
              </w:rPr>
            </w:pPr>
            <w:r>
              <w:rPr>
                <w:b/>
                <w:lang w:eastAsia="uk-UA"/>
              </w:rPr>
              <w:lastRenderedPageBreak/>
              <w:t>4</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w:t>
            </w:r>
            <w:r w:rsidRPr="00E308F6">
              <w:rPr>
                <w:color w:val="000000"/>
              </w:rPr>
              <w:lastRenderedPageBreak/>
              <w:t>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lastRenderedPageBreak/>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 xml:space="preserve">Замовник відміняє відкриті торги </w:t>
            </w:r>
            <w:proofErr w:type="gramStart"/>
            <w:r>
              <w:rPr>
                <w:color w:val="000000"/>
              </w:rPr>
              <w:t>у</w:t>
            </w:r>
            <w:proofErr w:type="gramEnd"/>
            <w:r>
              <w:rPr>
                <w:color w:val="000000"/>
              </w:rPr>
              <w:t xml:space="preserve">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w:t>
            </w:r>
            <w:proofErr w:type="gramStart"/>
            <w:r>
              <w:rPr>
                <w:color w:val="000000"/>
              </w:rPr>
              <w:t>вл</w:t>
            </w:r>
            <w:proofErr w:type="gramEnd"/>
            <w:r>
              <w:rPr>
                <w:color w:val="000000"/>
              </w:rPr>
              <w:t>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 xml:space="preserve">У разі відміни відкритих торгів замовник протягом одного робочого дня з дати прийняття відповідного </w:t>
            </w:r>
            <w:proofErr w:type="gramStart"/>
            <w:r>
              <w:rPr>
                <w:color w:val="000000"/>
              </w:rPr>
              <w:t>р</w:t>
            </w:r>
            <w:proofErr w:type="gramEnd"/>
            <w:r>
              <w:rPr>
                <w:color w:val="000000"/>
              </w:rPr>
              <w:t>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 xml:space="preserve">Відкриті торги автоматично відміняються електронною системою закупівель </w:t>
            </w:r>
            <w:proofErr w:type="gramStart"/>
            <w:r>
              <w:rPr>
                <w:color w:val="000000"/>
              </w:rPr>
              <w:t>у</w:t>
            </w:r>
            <w:proofErr w:type="gramEnd"/>
            <w:r>
              <w:rPr>
                <w:color w:val="000000"/>
              </w:rPr>
              <w:t xml:space="preserve">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 xml:space="preserve">Електронною системою закупівель автоматично протягом одного робочого дня з дати настання </w:t>
            </w:r>
            <w:proofErr w:type="gramStart"/>
            <w:r>
              <w:rPr>
                <w:color w:val="000000"/>
              </w:rPr>
              <w:t>п</w:t>
            </w:r>
            <w:proofErr w:type="gramEnd"/>
            <w:r>
              <w:rPr>
                <w:color w:val="000000"/>
              </w:rPr>
              <w:t>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proofErr w:type="gramStart"/>
            <w:r w:rsidRPr="00082628">
              <w:rPr>
                <w:color w:val="000000"/>
                <w:shd w:val="solid" w:color="FFFFFF" w:fill="FFFFFF"/>
                <w:lang w:eastAsia="en-US"/>
              </w:rPr>
              <w:t>Р</w:t>
            </w:r>
            <w:proofErr w:type="gramEnd"/>
            <w:r w:rsidRPr="00082628">
              <w:rPr>
                <w:color w:val="000000"/>
                <w:shd w:val="solid" w:color="FFFFFF" w:fill="FFFFFF"/>
                <w:lang w:eastAsia="en-US"/>
              </w:rPr>
              <w:t>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Замовник укладає догові</w:t>
            </w:r>
            <w:proofErr w:type="gramStart"/>
            <w:r>
              <w:rPr>
                <w:color w:val="000000"/>
              </w:rPr>
              <w:t>р</w:t>
            </w:r>
            <w:proofErr w:type="gramEnd"/>
            <w:r>
              <w:rPr>
                <w:color w:val="000000"/>
              </w:rPr>
              <w:t xml:space="preserve">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Pr>
                <w:color w:val="000000"/>
              </w:rPr>
              <w:lastRenderedPageBreak/>
              <w:t>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14:paraId="3B436334" w14:textId="77777777" w:rsidR="0086338D" w:rsidRDefault="0086338D" w:rsidP="0086338D">
            <w:pPr>
              <w:pStyle w:val="aa"/>
              <w:spacing w:before="150" w:beforeAutospacing="0" w:after="150" w:afterAutospacing="0" w:line="0" w:lineRule="atLeast"/>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lastRenderedPageBreak/>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w:t>
            </w:r>
            <w:proofErr w:type="gramStart"/>
            <w:r>
              <w:rPr>
                <w:color w:val="000000"/>
              </w:rPr>
              <w:t>про</w:t>
            </w:r>
            <w:proofErr w:type="gramEnd"/>
            <w:r>
              <w:rPr>
                <w:color w:val="000000"/>
              </w:rPr>
              <w:t xml:space="preserve">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786EC298" w:rsidR="0086338D" w:rsidRPr="00B261C9" w:rsidRDefault="0086338D" w:rsidP="0086338D">
            <w:pPr>
              <w:spacing w:before="120"/>
              <w:jc w:val="both"/>
              <w:rPr>
                <w:color w:val="000000"/>
                <w:lang w:eastAsia="en-US"/>
              </w:rPr>
            </w:pPr>
            <w:bookmarkStart w:id="11" w:name="n580"/>
            <w:bookmarkEnd w:id="11"/>
            <w:r w:rsidRPr="00B261C9">
              <w:rPr>
                <w:color w:val="000000"/>
              </w:rPr>
              <w:t xml:space="preserve">Договір про закупівлю укладається відповідно до норм Цивільного та Господарського кодексів України </w:t>
            </w:r>
            <w:r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Pr="00B261C9">
              <w:rPr>
                <w:color w:val="000000"/>
                <w:lang w:eastAsia="en-US"/>
              </w:rPr>
              <w:t>.</w:t>
            </w:r>
          </w:p>
          <w:p w14:paraId="3EA15519" w14:textId="77777777" w:rsidR="0086338D" w:rsidRPr="00DE5DC4" w:rsidRDefault="0086338D" w:rsidP="0086338D">
            <w:pPr>
              <w:pStyle w:val="aa"/>
              <w:spacing w:before="150" w:beforeAutospacing="0" w:after="150" w:afterAutospacing="0"/>
              <w:jc w:val="both"/>
            </w:pPr>
            <w:r w:rsidRPr="00DE5DC4">
              <w:rPr>
                <w:color w:val="000000"/>
              </w:rPr>
              <w:t>Умови договору про закупівлю не повинні ві</w:t>
            </w:r>
            <w:proofErr w:type="gramStart"/>
            <w:r w:rsidRPr="00DE5DC4">
              <w:rPr>
                <w:color w:val="000000"/>
              </w:rPr>
              <w:t>др</w:t>
            </w:r>
            <w:proofErr w:type="gramEnd"/>
            <w:r w:rsidRPr="00DE5DC4">
              <w:rPr>
                <w:color w:val="000000"/>
              </w:rPr>
              <w:t>ізнятися від змісту тендерної пропозиції за результатами електронного аукціону переможця процедури закупівлі, крім випадків: </w:t>
            </w:r>
          </w:p>
          <w:p w14:paraId="4E4A78B9" w14:textId="77777777" w:rsidR="0086338D" w:rsidRPr="00DE5DC4" w:rsidRDefault="0086338D" w:rsidP="0086338D">
            <w:pPr>
              <w:pStyle w:val="aa"/>
              <w:numPr>
                <w:ilvl w:val="0"/>
                <w:numId w:val="21"/>
              </w:numPr>
              <w:spacing w:before="150" w:beforeAutospacing="0" w:after="0" w:afterAutospacing="0"/>
              <w:jc w:val="both"/>
              <w:textAlignment w:val="baseline"/>
              <w:rPr>
                <w:color w:val="000000"/>
              </w:rPr>
            </w:pPr>
            <w:r w:rsidRPr="00DE5DC4">
              <w:rPr>
                <w:color w:val="000000"/>
              </w:rPr>
              <w:t xml:space="preserve">визначення </w:t>
            </w:r>
            <w:proofErr w:type="gramStart"/>
            <w:r w:rsidRPr="00DE5DC4">
              <w:rPr>
                <w:color w:val="000000"/>
              </w:rPr>
              <w:t>грошового</w:t>
            </w:r>
            <w:proofErr w:type="gramEnd"/>
            <w:r w:rsidRPr="00DE5DC4">
              <w:rPr>
                <w:color w:val="000000"/>
              </w:rPr>
              <w:t xml:space="preserve"> еквівалента зобов’язання в іноземній валюті; </w:t>
            </w:r>
          </w:p>
          <w:p w14:paraId="1A06267A" w14:textId="77777777" w:rsidR="0086338D" w:rsidRPr="00DE5DC4" w:rsidRDefault="0086338D" w:rsidP="0086338D">
            <w:pPr>
              <w:pStyle w:val="aa"/>
              <w:numPr>
                <w:ilvl w:val="0"/>
                <w:numId w:val="21"/>
              </w:numPr>
              <w:spacing w:before="0" w:beforeAutospacing="0" w:after="0" w:afterAutospacing="0"/>
              <w:jc w:val="both"/>
              <w:textAlignment w:val="baseline"/>
              <w:rPr>
                <w:color w:val="000000"/>
              </w:rPr>
            </w:pPr>
            <w:r w:rsidRPr="00DE5DC4">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DE5DC4">
              <w:rPr>
                <w:color w:val="000000"/>
              </w:rPr>
              <w:t>вл</w:t>
            </w:r>
            <w:proofErr w:type="gramEnd"/>
            <w:r w:rsidRPr="00DE5DC4">
              <w:rPr>
                <w:color w:val="000000"/>
              </w:rPr>
              <w:t>і;</w:t>
            </w:r>
          </w:p>
          <w:p w14:paraId="78FEE4EB" w14:textId="77777777" w:rsidR="0086338D" w:rsidRPr="00DE5DC4" w:rsidRDefault="0086338D" w:rsidP="0086338D">
            <w:pPr>
              <w:pStyle w:val="aa"/>
              <w:numPr>
                <w:ilvl w:val="0"/>
                <w:numId w:val="21"/>
              </w:numPr>
              <w:spacing w:before="0" w:beforeAutospacing="0" w:after="150" w:afterAutospacing="0"/>
              <w:jc w:val="both"/>
              <w:textAlignment w:val="baseline"/>
              <w:rPr>
                <w:color w:val="000000"/>
              </w:rPr>
            </w:pPr>
            <w:proofErr w:type="gramStart"/>
            <w:r w:rsidRPr="00DE5DC4">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14:paraId="65A0F9F7" w14:textId="77777777" w:rsidR="0086338D" w:rsidRPr="00DE5DC4" w:rsidRDefault="0086338D" w:rsidP="0086338D">
            <w:pPr>
              <w:pStyle w:val="aa"/>
              <w:spacing w:before="150" w:beforeAutospacing="0" w:after="150" w:afterAutospacing="0"/>
              <w:jc w:val="both"/>
            </w:pPr>
            <w:r w:rsidRPr="00DE5DC4">
              <w:rPr>
                <w:color w:val="000000"/>
              </w:rPr>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DE5DC4">
              <w:rPr>
                <w:color w:val="000000"/>
              </w:rPr>
              <w:t>п</w:t>
            </w:r>
            <w:proofErr w:type="gramEnd"/>
            <w:r w:rsidRPr="00DE5DC4">
              <w:rPr>
                <w:color w:val="000000"/>
              </w:rPr>
              <w:t>ід час укладання договору.</w:t>
            </w:r>
          </w:p>
          <w:p w14:paraId="6BA25677" w14:textId="77777777" w:rsidR="0086338D" w:rsidRPr="00DE5DC4" w:rsidRDefault="0086338D" w:rsidP="0086338D">
            <w:pPr>
              <w:pStyle w:val="aa"/>
              <w:spacing w:before="150" w:beforeAutospacing="0" w:after="150" w:afterAutospacing="0"/>
              <w:jc w:val="both"/>
            </w:pPr>
            <w:r w:rsidRPr="00DE5DC4">
              <w:rPr>
                <w:color w:val="000000"/>
              </w:rPr>
              <w:t>Переможець процедури закупі</w:t>
            </w:r>
            <w:proofErr w:type="gramStart"/>
            <w:r w:rsidRPr="00DE5DC4">
              <w:rPr>
                <w:color w:val="000000"/>
              </w:rPr>
              <w:t>вл</w:t>
            </w:r>
            <w:proofErr w:type="gramEnd"/>
            <w:r w:rsidRPr="00DE5DC4">
              <w:rPr>
                <w:color w:val="000000"/>
              </w:rPr>
              <w:t>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77777777" w:rsidR="0086338D" w:rsidRPr="00623912" w:rsidRDefault="0086338D" w:rsidP="0086338D">
            <w:pPr>
              <w:pStyle w:val="aa"/>
              <w:spacing w:before="150" w:beforeAutospacing="0" w:after="150" w:afterAutospacing="0" w:line="0" w:lineRule="atLeast"/>
              <w:jc w:val="both"/>
              <w:rPr>
                <w:color w:val="000000"/>
              </w:rPr>
            </w:pPr>
            <w:r w:rsidRPr="00623912">
              <w:rPr>
                <w:color w:val="000000"/>
              </w:rPr>
              <w:t xml:space="preserve">Істотні умови договору про закупівлю не можуть змінюватися </w:t>
            </w:r>
            <w:proofErr w:type="gramStart"/>
            <w:r w:rsidRPr="00623912">
              <w:rPr>
                <w:color w:val="000000"/>
              </w:rPr>
              <w:t>п</w:t>
            </w:r>
            <w:proofErr w:type="gramEnd"/>
            <w:r w:rsidRPr="00623912">
              <w:rPr>
                <w:color w:val="000000"/>
              </w:rPr>
              <w:t>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w:t>
            </w:r>
            <w:r w:rsidRPr="00623912">
              <w:rPr>
                <w:color w:val="000000"/>
                <w:lang w:eastAsia="en-US"/>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77777777" w:rsidR="0086338D" w:rsidRPr="00623912" w:rsidRDefault="0086338D" w:rsidP="0086338D">
            <w:pPr>
              <w:spacing w:before="120"/>
              <w:ind w:firstLine="567"/>
              <w:jc w:val="both"/>
              <w:rPr>
                <w:color w:val="000000"/>
                <w:shd w:val="solid" w:color="FFFFFF" w:fill="FFFFFF"/>
                <w:lang w:eastAsia="en-US"/>
              </w:rPr>
            </w:pPr>
            <w:r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3F568" w14:textId="77777777" w:rsidR="00733E6E" w:rsidRDefault="00733E6E" w:rsidP="00207BBB">
      <w:pPr>
        <w:pStyle w:val="CharChar"/>
      </w:pPr>
      <w:r>
        <w:separator/>
      </w:r>
    </w:p>
  </w:endnote>
  <w:endnote w:type="continuationSeparator" w:id="0">
    <w:p w14:paraId="6E05B91C" w14:textId="77777777" w:rsidR="00733E6E" w:rsidRDefault="00733E6E"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070C58">
      <w:rPr>
        <w:rStyle w:val="a3"/>
        <w:noProof/>
      </w:rPr>
      <w:t>15</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22304" w14:textId="77777777" w:rsidR="00733E6E" w:rsidRDefault="00733E6E" w:rsidP="00207BBB">
      <w:pPr>
        <w:pStyle w:val="CharChar"/>
      </w:pPr>
      <w:r>
        <w:separator/>
      </w:r>
    </w:p>
  </w:footnote>
  <w:footnote w:type="continuationSeparator" w:id="0">
    <w:p w14:paraId="29F0479C" w14:textId="77777777" w:rsidR="00733E6E" w:rsidRDefault="00733E6E"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5BE"/>
    <w:rsid w:val="00032F3B"/>
    <w:rsid w:val="000349D9"/>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0C58"/>
    <w:rsid w:val="000713AE"/>
    <w:rsid w:val="0007452B"/>
    <w:rsid w:val="00074B74"/>
    <w:rsid w:val="00074DBB"/>
    <w:rsid w:val="000753D4"/>
    <w:rsid w:val="00082628"/>
    <w:rsid w:val="000828C1"/>
    <w:rsid w:val="00082EC5"/>
    <w:rsid w:val="000842B7"/>
    <w:rsid w:val="000858A3"/>
    <w:rsid w:val="00086158"/>
    <w:rsid w:val="00086245"/>
    <w:rsid w:val="00086C7C"/>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61F7"/>
    <w:rsid w:val="000B6B15"/>
    <w:rsid w:val="000B7E69"/>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CB"/>
    <w:rsid w:val="0017556A"/>
    <w:rsid w:val="00175D30"/>
    <w:rsid w:val="00176924"/>
    <w:rsid w:val="00176B85"/>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1DBC"/>
    <w:rsid w:val="002430FC"/>
    <w:rsid w:val="0024340A"/>
    <w:rsid w:val="00243531"/>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6E82"/>
    <w:rsid w:val="002A72B8"/>
    <w:rsid w:val="002A73F4"/>
    <w:rsid w:val="002B0605"/>
    <w:rsid w:val="002B1635"/>
    <w:rsid w:val="002B1A08"/>
    <w:rsid w:val="002B1DE4"/>
    <w:rsid w:val="002B3C75"/>
    <w:rsid w:val="002B5F3A"/>
    <w:rsid w:val="002B6649"/>
    <w:rsid w:val="002B7379"/>
    <w:rsid w:val="002C00A5"/>
    <w:rsid w:val="002C2493"/>
    <w:rsid w:val="002C2AA2"/>
    <w:rsid w:val="002C3CF8"/>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B00"/>
    <w:rsid w:val="00362EFE"/>
    <w:rsid w:val="003633D7"/>
    <w:rsid w:val="003660B8"/>
    <w:rsid w:val="00366BCC"/>
    <w:rsid w:val="00367493"/>
    <w:rsid w:val="003704F9"/>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05B4"/>
    <w:rsid w:val="004F1C22"/>
    <w:rsid w:val="004F3CC3"/>
    <w:rsid w:val="004F45F1"/>
    <w:rsid w:val="004F543F"/>
    <w:rsid w:val="004F6D81"/>
    <w:rsid w:val="004F6F11"/>
    <w:rsid w:val="00501DC1"/>
    <w:rsid w:val="0050218D"/>
    <w:rsid w:val="00504F22"/>
    <w:rsid w:val="005059B6"/>
    <w:rsid w:val="00506890"/>
    <w:rsid w:val="00506A6C"/>
    <w:rsid w:val="00506BA9"/>
    <w:rsid w:val="005075BC"/>
    <w:rsid w:val="00510EAE"/>
    <w:rsid w:val="005115ED"/>
    <w:rsid w:val="00511FB8"/>
    <w:rsid w:val="005126AE"/>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6A7D"/>
    <w:rsid w:val="005C7A3A"/>
    <w:rsid w:val="005C7BCE"/>
    <w:rsid w:val="005D05D2"/>
    <w:rsid w:val="005D0F16"/>
    <w:rsid w:val="005D1219"/>
    <w:rsid w:val="005D1907"/>
    <w:rsid w:val="005D1E5A"/>
    <w:rsid w:val="005D401F"/>
    <w:rsid w:val="005D54F3"/>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D7FC3"/>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3E6E"/>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3460"/>
    <w:rsid w:val="00773A5E"/>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062F"/>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47FC5"/>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FAC"/>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547A"/>
    <w:rsid w:val="009301AC"/>
    <w:rsid w:val="00930D93"/>
    <w:rsid w:val="00931AFB"/>
    <w:rsid w:val="00933CE7"/>
    <w:rsid w:val="009340D0"/>
    <w:rsid w:val="00934695"/>
    <w:rsid w:val="00935EA9"/>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CBC"/>
    <w:rsid w:val="009720DF"/>
    <w:rsid w:val="00972A8D"/>
    <w:rsid w:val="00972C0D"/>
    <w:rsid w:val="00972F97"/>
    <w:rsid w:val="00973569"/>
    <w:rsid w:val="00973A4B"/>
    <w:rsid w:val="00975CA5"/>
    <w:rsid w:val="00976803"/>
    <w:rsid w:val="0097735D"/>
    <w:rsid w:val="0097765D"/>
    <w:rsid w:val="009813CC"/>
    <w:rsid w:val="00982409"/>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6C63"/>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22CC"/>
    <w:rsid w:val="00A132C4"/>
    <w:rsid w:val="00A13531"/>
    <w:rsid w:val="00A1547A"/>
    <w:rsid w:val="00A15D22"/>
    <w:rsid w:val="00A16D88"/>
    <w:rsid w:val="00A217BB"/>
    <w:rsid w:val="00A223BA"/>
    <w:rsid w:val="00A225EB"/>
    <w:rsid w:val="00A23477"/>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4F4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4CE1"/>
    <w:rsid w:val="00BB6032"/>
    <w:rsid w:val="00BB636C"/>
    <w:rsid w:val="00BB7083"/>
    <w:rsid w:val="00BB7CFF"/>
    <w:rsid w:val="00BC0BAC"/>
    <w:rsid w:val="00BC1F3D"/>
    <w:rsid w:val="00BC2A79"/>
    <w:rsid w:val="00BC407B"/>
    <w:rsid w:val="00BC5A39"/>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1788B"/>
    <w:rsid w:val="00C17C3D"/>
    <w:rsid w:val="00C213BF"/>
    <w:rsid w:val="00C220CD"/>
    <w:rsid w:val="00C2388E"/>
    <w:rsid w:val="00C24CAB"/>
    <w:rsid w:val="00C254EC"/>
    <w:rsid w:val="00C26288"/>
    <w:rsid w:val="00C27B7C"/>
    <w:rsid w:val="00C27C48"/>
    <w:rsid w:val="00C27CBB"/>
    <w:rsid w:val="00C3078F"/>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29F"/>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843"/>
    <w:rsid w:val="00D04783"/>
    <w:rsid w:val="00D048CF"/>
    <w:rsid w:val="00D0493E"/>
    <w:rsid w:val="00D04C08"/>
    <w:rsid w:val="00D0789E"/>
    <w:rsid w:val="00D07E2A"/>
    <w:rsid w:val="00D10588"/>
    <w:rsid w:val="00D1241D"/>
    <w:rsid w:val="00D1263D"/>
    <w:rsid w:val="00D14BD5"/>
    <w:rsid w:val="00D15B3B"/>
    <w:rsid w:val="00D15DC5"/>
    <w:rsid w:val="00D15F03"/>
    <w:rsid w:val="00D16C8F"/>
    <w:rsid w:val="00D1774D"/>
    <w:rsid w:val="00D17B62"/>
    <w:rsid w:val="00D22022"/>
    <w:rsid w:val="00D222C1"/>
    <w:rsid w:val="00D23209"/>
    <w:rsid w:val="00D31228"/>
    <w:rsid w:val="00D315B9"/>
    <w:rsid w:val="00D320F4"/>
    <w:rsid w:val="00D33AD2"/>
    <w:rsid w:val="00D33BAD"/>
    <w:rsid w:val="00D34534"/>
    <w:rsid w:val="00D34834"/>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2C3F"/>
    <w:rsid w:val="00D731FD"/>
    <w:rsid w:val="00D749A0"/>
    <w:rsid w:val="00D75252"/>
    <w:rsid w:val="00D75282"/>
    <w:rsid w:val="00D81484"/>
    <w:rsid w:val="00D81CCF"/>
    <w:rsid w:val="00D83A7A"/>
    <w:rsid w:val="00D8484B"/>
    <w:rsid w:val="00D854AF"/>
    <w:rsid w:val="00D869F5"/>
    <w:rsid w:val="00D86BD4"/>
    <w:rsid w:val="00D873C2"/>
    <w:rsid w:val="00D8754B"/>
    <w:rsid w:val="00D90ED5"/>
    <w:rsid w:val="00D91D0A"/>
    <w:rsid w:val="00D926C5"/>
    <w:rsid w:val="00D92FD9"/>
    <w:rsid w:val="00D930A5"/>
    <w:rsid w:val="00D93789"/>
    <w:rsid w:val="00D937CA"/>
    <w:rsid w:val="00D94074"/>
    <w:rsid w:val="00D95EFD"/>
    <w:rsid w:val="00D96772"/>
    <w:rsid w:val="00D9704B"/>
    <w:rsid w:val="00D97887"/>
    <w:rsid w:val="00D97AF8"/>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C09"/>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185F"/>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348D"/>
    <w:rsid w:val="00E337B9"/>
    <w:rsid w:val="00E35712"/>
    <w:rsid w:val="00E37DD6"/>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5431"/>
    <w:rsid w:val="00F65A2B"/>
    <w:rsid w:val="00F660B1"/>
    <w:rsid w:val="00F6625F"/>
    <w:rsid w:val="00F67216"/>
    <w:rsid w:val="00F677A0"/>
    <w:rsid w:val="00F67BA8"/>
    <w:rsid w:val="00F700CF"/>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1837"/>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E6F50"/>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0E5F7-1BF9-453E-9040-E2878F97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24</Pages>
  <Words>38944</Words>
  <Characters>22199</Characters>
  <Application>Microsoft Office Word</Application>
  <DocSecurity>0</DocSecurity>
  <Lines>184</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148</cp:revision>
  <cp:lastPrinted>2021-04-19T11:44:00Z</cp:lastPrinted>
  <dcterms:created xsi:type="dcterms:W3CDTF">2022-10-20T10:48:00Z</dcterms:created>
  <dcterms:modified xsi:type="dcterms:W3CDTF">2023-01-24T15:11:00Z</dcterms:modified>
</cp:coreProperties>
</file>