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0B0B915C"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2458C37B" w14:textId="463EA60C" w:rsidR="00B7543E" w:rsidRPr="00B7543E" w:rsidRDefault="00B7543E" w:rsidP="00B7543E">
      <w:pPr>
        <w:shd w:val="clear" w:color="auto" w:fill="FFFFFF"/>
        <w:spacing w:line="240" w:lineRule="auto"/>
        <w:jc w:val="both"/>
        <w:rPr>
          <w:rFonts w:ascii="Times New Roman" w:eastAsia="Times New Roman" w:hAnsi="Times New Roman" w:cs="Times New Roman"/>
          <w:bCs/>
          <w:color w:val="auto"/>
          <w:sz w:val="24"/>
          <w:szCs w:val="24"/>
          <w:lang w:val="uk-UA"/>
        </w:rPr>
      </w:pPr>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p w14:paraId="4BEE120A" w14:textId="77777777" w:rsidR="00DD0868" w:rsidRPr="00DA754B" w:rsidRDefault="00DD0868" w:rsidP="00DD0868">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0A20CF">
        <w:rPr>
          <w:rFonts w:ascii="Times New Roman" w:eastAsia="Times New Roman" w:hAnsi="Times New Roman" w:cs="Times New Roman"/>
          <w:b/>
          <w:bCs/>
          <w:color w:val="auto"/>
          <w:sz w:val="24"/>
          <w:szCs w:val="24"/>
          <w:u w:val="single"/>
          <w:lang w:val="uk-UA"/>
        </w:rPr>
        <w:t xml:space="preserve">Стегно </w:t>
      </w:r>
      <w:r w:rsidRPr="00E3692F">
        <w:rPr>
          <w:rFonts w:ascii="Times New Roman" w:eastAsia="Times New Roman" w:hAnsi="Times New Roman" w:cs="Times New Roman"/>
          <w:b/>
          <w:bCs/>
          <w:color w:val="000000" w:themeColor="text1"/>
          <w:sz w:val="24"/>
          <w:szCs w:val="24"/>
          <w:u w:val="single"/>
          <w:lang w:val="uk-UA"/>
        </w:rPr>
        <w:t>куряче</w:t>
      </w:r>
      <w:r w:rsidRPr="00440B1C">
        <w:rPr>
          <w:rFonts w:ascii="Times New Roman" w:eastAsia="Times New Roman" w:hAnsi="Times New Roman" w:cs="Times New Roman"/>
          <w:b/>
          <w:bCs/>
          <w:color w:val="000000" w:themeColor="text1"/>
          <w:sz w:val="24"/>
          <w:szCs w:val="24"/>
          <w:lang w:val="uk-UA"/>
        </w:rPr>
        <w:t xml:space="preserve"> </w:t>
      </w:r>
      <w:r w:rsidRPr="00E3692F">
        <w:rPr>
          <w:rFonts w:ascii="Times New Roman" w:eastAsia="Times New Roman" w:hAnsi="Times New Roman" w:cs="Times New Roman"/>
          <w:bCs/>
          <w:color w:val="000000" w:themeColor="text1"/>
          <w:sz w:val="24"/>
          <w:szCs w:val="24"/>
          <w:lang w:val="uk-UA"/>
        </w:rPr>
        <w:t>-</w:t>
      </w:r>
      <w:r w:rsidRPr="000A20CF">
        <w:rPr>
          <w:rFonts w:ascii="Times New Roman" w:eastAsia="Times New Roman" w:hAnsi="Times New Roman" w:cs="Times New Roman"/>
          <w:bCs/>
          <w:color w:val="FF0000"/>
          <w:sz w:val="24"/>
          <w:szCs w:val="24"/>
          <w:lang w:val="uk-UA"/>
        </w:rPr>
        <w:t xml:space="preserve">   </w:t>
      </w:r>
      <w:r w:rsidRPr="000A20CF">
        <w:rPr>
          <w:rFonts w:ascii="Times New Roman" w:eastAsia="Times New Roman" w:hAnsi="Times New Roman" w:cs="Times New Roman"/>
          <w:color w:val="auto"/>
          <w:sz w:val="24"/>
          <w:szCs w:val="24"/>
          <w:lang w:val="uk-UA"/>
        </w:rPr>
        <w:t>для виготовлення стегна курячого  використовуються кури тільки вітчизняного виробництва та я</w:t>
      </w:r>
      <w:r>
        <w:rPr>
          <w:rFonts w:ascii="Times New Roman" w:eastAsia="Times New Roman" w:hAnsi="Times New Roman" w:cs="Times New Roman"/>
          <w:color w:val="auto"/>
          <w:sz w:val="24"/>
          <w:szCs w:val="24"/>
          <w:lang w:val="uk-UA"/>
        </w:rPr>
        <w:t>кі відповідають вимогам стандарту</w:t>
      </w:r>
      <w:r w:rsidRPr="000A20CF">
        <w:rPr>
          <w:rFonts w:ascii="Times New Roman" w:eastAsia="Times New Roman" w:hAnsi="Times New Roman" w:cs="Times New Roman"/>
          <w:color w:val="auto"/>
          <w:sz w:val="24"/>
          <w:szCs w:val="24"/>
          <w:lang w:val="uk-UA"/>
        </w:rPr>
        <w:t>. Стегно куряче повинне бути охолоджене, блідо – рожевого кольору, без крововиливів</w:t>
      </w:r>
      <w:r>
        <w:rPr>
          <w:rFonts w:ascii="Times New Roman" w:eastAsia="Times New Roman" w:hAnsi="Times New Roman" w:cs="Times New Roman"/>
          <w:color w:val="auto"/>
          <w:sz w:val="24"/>
          <w:szCs w:val="24"/>
          <w:lang w:val="uk-UA"/>
        </w:rPr>
        <w:t xml:space="preserve">,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A12E14">
        <w:rPr>
          <w:rFonts w:ascii="Times New Roman" w:hAnsi="Times New Roman" w:cs="Times New Roman"/>
          <w:sz w:val="24"/>
          <w:szCs w:val="24"/>
          <w:lang w:val="uk-UA"/>
        </w:rPr>
        <w:t>згідно діючого ДСТУ або ТУ</w:t>
      </w:r>
      <w:r w:rsidRPr="00DA754B">
        <w:rPr>
          <w:rFonts w:ascii="Times New Roman" w:eastAsia="Times New Roman" w:hAnsi="Times New Roman" w:cs="Times New Roman"/>
          <w:bCs/>
          <w:color w:val="auto"/>
          <w:sz w:val="24"/>
          <w:szCs w:val="24"/>
          <w:lang w:val="uk-UA"/>
        </w:rPr>
        <w:t>.</w:t>
      </w:r>
    </w:p>
    <w:bookmarkEnd w:id="0"/>
    <w:p w14:paraId="14E5DC6E" w14:textId="77777777" w:rsidR="00444F4C" w:rsidRPr="00BC4636" w:rsidRDefault="00444F4C" w:rsidP="00444F4C">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BC4636">
        <w:rPr>
          <w:rFonts w:ascii="Times New Roman" w:hAnsi="Times New Roman" w:cs="Times New Roman"/>
          <w:sz w:val="24"/>
          <w:szCs w:val="24"/>
          <w:lang w:val="uk-UA"/>
        </w:rPr>
        <w:t>згідно діючого ДСТУ або ТУ.</w:t>
      </w:r>
    </w:p>
    <w:p w14:paraId="63D5BAA8" w14:textId="77777777" w:rsidR="00444F4C" w:rsidRDefault="00444F4C" w:rsidP="00610342">
      <w:pPr>
        <w:suppressAutoHyphens/>
        <w:spacing w:line="240" w:lineRule="auto"/>
        <w:jc w:val="both"/>
        <w:rPr>
          <w:rFonts w:ascii="Times New Roman" w:hAnsi="Times New Roman" w:cs="Times New Roman"/>
          <w:sz w:val="24"/>
          <w:szCs w:val="24"/>
          <w:lang w:val="uk-UA"/>
        </w:rPr>
      </w:pP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4D1D9B5A" w:rsidR="00DA754B" w:rsidRPr="00F724B0" w:rsidRDefault="00DB686D"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60</w:t>
            </w:r>
            <w:r w:rsidR="00444F4C">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43CA0782" w:rsidR="00DA754B" w:rsidRPr="00F724B0" w:rsidRDefault="00DB686D"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40</w:t>
            </w:r>
            <w:r w:rsidR="00DA754B">
              <w:rPr>
                <w:rFonts w:ascii="Times New Roman" w:eastAsia="Times New Roman" w:hAnsi="Times New Roman"/>
                <w:color w:val="FF0000"/>
                <w:sz w:val="24"/>
                <w:szCs w:val="24"/>
                <w:lang w:val="uk-UA"/>
              </w:rPr>
              <w:t>0 кг</w:t>
            </w:r>
          </w:p>
        </w:tc>
      </w:tr>
      <w:tr w:rsidR="00B7543E" w:rsidRPr="00F724B0" w14:paraId="26E6C71B" w14:textId="77777777" w:rsidTr="00957F8D">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2AED39D" w14:textId="77777777" w:rsidR="00B7543E" w:rsidRDefault="00B7543E" w:rsidP="00B7543E">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lastRenderedPageBreak/>
              <w:t>Тушки курей</w:t>
            </w:r>
          </w:p>
          <w:p w14:paraId="7F827CD7" w14:textId="77777777" w:rsidR="00B7543E" w:rsidRPr="0017708A" w:rsidRDefault="00B7543E" w:rsidP="00B7543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BFC3E17" w14:textId="4B2EF37B" w:rsidR="00B7543E" w:rsidRDefault="00DB686D" w:rsidP="00B7543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41</w:t>
            </w:r>
            <w:r w:rsidR="00B7543E" w:rsidRPr="00D34DA4">
              <w:rPr>
                <w:rFonts w:ascii="Times New Roman" w:eastAsia="Times New Roman" w:hAnsi="Times New Roman"/>
                <w:color w:val="FF0000"/>
                <w:sz w:val="24"/>
                <w:szCs w:val="24"/>
                <w:lang w:val="uk-UA"/>
              </w:rPr>
              <w:t>0 кг</w:t>
            </w:r>
          </w:p>
        </w:tc>
      </w:tr>
      <w:tr w:rsidR="00444F4C" w:rsidRPr="00F724B0" w14:paraId="37944AC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76B6B7C" w14:textId="76867313" w:rsidR="00444F4C" w:rsidRDefault="00DD0868" w:rsidP="00444F4C">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Стегно куряче</w:t>
            </w:r>
          </w:p>
          <w:p w14:paraId="2C86B84B" w14:textId="77777777" w:rsidR="00444F4C" w:rsidRPr="0017708A" w:rsidRDefault="00444F4C" w:rsidP="00444F4C">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758DFF3" w14:textId="7220601C" w:rsidR="00444F4C" w:rsidRDefault="00DB686D" w:rsidP="00444F4C">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70</w:t>
            </w:r>
            <w:r w:rsidR="00444F4C">
              <w:rPr>
                <w:rFonts w:ascii="Times New Roman" w:eastAsia="Times New Roman" w:hAnsi="Times New Roman"/>
                <w:color w:val="FF0000"/>
                <w:sz w:val="24"/>
                <w:szCs w:val="24"/>
                <w:lang w:val="uk-UA"/>
              </w:rPr>
              <w:t>0 кг</w:t>
            </w:r>
          </w:p>
        </w:tc>
      </w:tr>
      <w:tr w:rsidR="00444F4C" w:rsidRPr="00F724B0" w14:paraId="58A21CC1"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9FBF3E" w14:textId="77777777" w:rsidR="00444F4C" w:rsidRDefault="00444F4C" w:rsidP="00444F4C">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10506AA8" w14:textId="77777777" w:rsidR="00444F4C" w:rsidRPr="0017708A" w:rsidRDefault="00444F4C" w:rsidP="00444F4C">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81855D7" w14:textId="5072F8A3" w:rsidR="00444F4C" w:rsidRDefault="00DB686D" w:rsidP="00444F4C">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100</w:t>
            </w:r>
            <w:r w:rsidR="00444F4C">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44F4C"/>
    <w:rsid w:val="00463F34"/>
    <w:rsid w:val="00483351"/>
    <w:rsid w:val="004C048F"/>
    <w:rsid w:val="004D1CA9"/>
    <w:rsid w:val="004E067B"/>
    <w:rsid w:val="00511E71"/>
    <w:rsid w:val="00513FCC"/>
    <w:rsid w:val="0052463D"/>
    <w:rsid w:val="00570A42"/>
    <w:rsid w:val="005726A9"/>
    <w:rsid w:val="00586DE6"/>
    <w:rsid w:val="005B19AD"/>
    <w:rsid w:val="005C5FE5"/>
    <w:rsid w:val="005F2176"/>
    <w:rsid w:val="00610342"/>
    <w:rsid w:val="00612DFA"/>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024C1"/>
    <w:rsid w:val="00A12E14"/>
    <w:rsid w:val="00A43FEC"/>
    <w:rsid w:val="00AB688D"/>
    <w:rsid w:val="00B508DB"/>
    <w:rsid w:val="00B7543E"/>
    <w:rsid w:val="00BA2CCA"/>
    <w:rsid w:val="00BC05F6"/>
    <w:rsid w:val="00BC4636"/>
    <w:rsid w:val="00C045AE"/>
    <w:rsid w:val="00C36B32"/>
    <w:rsid w:val="00C47649"/>
    <w:rsid w:val="00D010FE"/>
    <w:rsid w:val="00D20467"/>
    <w:rsid w:val="00D679BA"/>
    <w:rsid w:val="00D92862"/>
    <w:rsid w:val="00DA754B"/>
    <w:rsid w:val="00DB1569"/>
    <w:rsid w:val="00DB686D"/>
    <w:rsid w:val="00DC30E7"/>
    <w:rsid w:val="00DC687A"/>
    <w:rsid w:val="00DD0868"/>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739</Words>
  <Characters>4821</Characters>
  <Application>Microsoft Office Word</Application>
  <DocSecurity>0</DocSecurity>
  <Lines>107</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73</cp:revision>
  <cp:lastPrinted>2017-09-21T09:12:00Z</cp:lastPrinted>
  <dcterms:created xsi:type="dcterms:W3CDTF">2019-11-04T13:37:00Z</dcterms:created>
  <dcterms:modified xsi:type="dcterms:W3CDTF">2023-12-19T20:39:00Z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