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712F" w14:textId="78899350" w:rsidR="0098118A" w:rsidRPr="00B67BFA" w:rsidRDefault="00E729AF" w:rsidP="00054495">
      <w:pPr>
        <w:pStyle w:val="Standard"/>
        <w:jc w:val="right"/>
        <w:rPr>
          <w:rFonts w:eastAsia="Times New Roman" w:cs="Times New Roman"/>
          <w:b/>
          <w:lang w:val="ru-RU"/>
        </w:rPr>
      </w:pPr>
      <w:r w:rsidRPr="00CB4770">
        <w:rPr>
          <w:rFonts w:eastAsia="Times New Roman" w:cs="Times New Roman"/>
          <w:b/>
          <w:lang w:val="ru-RU"/>
        </w:rPr>
        <w:t xml:space="preserve">                                                                                     </w:t>
      </w:r>
      <w:proofErr w:type="spellStart"/>
      <w:r w:rsidR="00054495" w:rsidRPr="00B67BFA">
        <w:rPr>
          <w:rFonts w:eastAsia="Times New Roman" w:cs="Times New Roman"/>
          <w:b/>
          <w:lang w:val="ru-RU"/>
        </w:rPr>
        <w:t>Додаток</w:t>
      </w:r>
      <w:proofErr w:type="spellEnd"/>
      <w:r w:rsidR="00054495" w:rsidRPr="00B67BFA">
        <w:rPr>
          <w:rFonts w:eastAsia="Times New Roman" w:cs="Times New Roman"/>
          <w:b/>
          <w:lang w:val="ru-RU"/>
        </w:rPr>
        <w:t xml:space="preserve"> </w:t>
      </w:r>
      <w:r w:rsidR="00663900" w:rsidRPr="00B67BFA">
        <w:rPr>
          <w:rFonts w:eastAsia="Times New Roman" w:cs="Times New Roman"/>
          <w:b/>
          <w:lang w:val="ru-RU"/>
        </w:rPr>
        <w:t xml:space="preserve">3 до </w:t>
      </w:r>
      <w:proofErr w:type="spellStart"/>
      <w:r w:rsidR="00663900" w:rsidRPr="00B67BFA">
        <w:rPr>
          <w:rFonts w:eastAsia="Times New Roman" w:cs="Times New Roman"/>
          <w:b/>
          <w:lang w:val="ru-RU"/>
        </w:rPr>
        <w:t>тендерної</w:t>
      </w:r>
      <w:proofErr w:type="spellEnd"/>
      <w:r w:rsidR="00663900" w:rsidRPr="00B67BFA">
        <w:rPr>
          <w:rFonts w:eastAsia="Times New Roman" w:cs="Times New Roman"/>
          <w:b/>
          <w:lang w:val="ru-RU"/>
        </w:rPr>
        <w:t xml:space="preserve"> </w:t>
      </w:r>
      <w:proofErr w:type="spellStart"/>
      <w:r w:rsidR="00663900" w:rsidRPr="00B67BFA">
        <w:rPr>
          <w:rFonts w:eastAsia="Times New Roman" w:cs="Times New Roman"/>
          <w:b/>
          <w:lang w:val="ru-RU"/>
        </w:rPr>
        <w:t>документації</w:t>
      </w:r>
      <w:proofErr w:type="spellEnd"/>
    </w:p>
    <w:p w14:paraId="22AEC45C" w14:textId="77777777" w:rsidR="0098118A" w:rsidRPr="00B67BFA" w:rsidRDefault="00E729AF" w:rsidP="00054495">
      <w:pPr>
        <w:pStyle w:val="Standard"/>
        <w:jc w:val="right"/>
        <w:rPr>
          <w:rFonts w:eastAsia="Times New Roman" w:cs="Times New Roman"/>
          <w:i/>
          <w:lang w:val="uk-UA"/>
        </w:rPr>
      </w:pPr>
      <w:r w:rsidRPr="00B67BFA">
        <w:rPr>
          <w:rFonts w:eastAsia="Times New Roman" w:cs="Times New Roman"/>
          <w:i/>
          <w:lang w:val="uk-UA"/>
        </w:rPr>
        <w:t xml:space="preserve">                                                                                    до тендерної документації </w:t>
      </w:r>
    </w:p>
    <w:p w14:paraId="0AD9FAFA" w14:textId="6A1393E3" w:rsidR="008B221C" w:rsidRPr="00B67BFA" w:rsidRDefault="00E729AF" w:rsidP="00663900">
      <w:pPr>
        <w:pStyle w:val="Standard"/>
        <w:jc w:val="both"/>
        <w:rPr>
          <w:lang w:val="uk-UA"/>
        </w:rPr>
      </w:pPr>
      <w:r w:rsidRPr="00B67BFA">
        <w:rPr>
          <w:rFonts w:eastAsia="Times New Roman" w:cs="Times New Roman"/>
          <w:i/>
          <w:lang w:val="uk-UA"/>
        </w:rPr>
        <w:t xml:space="preserve">                                                                                 </w:t>
      </w:r>
    </w:p>
    <w:p w14:paraId="32D2BD7B" w14:textId="397B7735" w:rsidR="008B221C" w:rsidRPr="00B67BFA" w:rsidRDefault="008B221C" w:rsidP="008B221C">
      <w:pPr>
        <w:pStyle w:val="Standard"/>
        <w:jc w:val="center"/>
        <w:rPr>
          <w:b/>
          <w:sz w:val="26"/>
          <w:szCs w:val="26"/>
          <w:lang w:val="uk-UA"/>
        </w:rPr>
      </w:pPr>
      <w:r w:rsidRPr="00B67BFA">
        <w:rPr>
          <w:b/>
          <w:sz w:val="26"/>
          <w:szCs w:val="26"/>
          <w:lang w:val="uk-UA"/>
        </w:rPr>
        <w:t>Технічне завдання</w:t>
      </w:r>
    </w:p>
    <w:p w14:paraId="5099069E" w14:textId="6C4E221A" w:rsidR="007E1037" w:rsidRPr="00B67BFA" w:rsidRDefault="007E1037" w:rsidP="008B221C">
      <w:pPr>
        <w:pStyle w:val="Standard"/>
        <w:jc w:val="center"/>
        <w:rPr>
          <w:b/>
          <w:sz w:val="26"/>
          <w:szCs w:val="26"/>
          <w:lang w:val="uk-UA"/>
        </w:rPr>
      </w:pPr>
      <w:proofErr w:type="spellStart"/>
      <w:r w:rsidRPr="00B67BFA">
        <w:rPr>
          <w:b/>
          <w:sz w:val="26"/>
          <w:szCs w:val="26"/>
          <w:lang w:val="uk-UA"/>
        </w:rPr>
        <w:t>Двухосний</w:t>
      </w:r>
      <w:proofErr w:type="spellEnd"/>
      <w:r w:rsidRPr="00B67BFA">
        <w:rPr>
          <w:b/>
          <w:sz w:val="26"/>
          <w:szCs w:val="26"/>
          <w:lang w:val="uk-UA"/>
        </w:rPr>
        <w:t xml:space="preserve"> причіп-платформа (ДК 021:2015- 34220000-5 – Причепи, напівпричепи та пересувні контейнери)</w:t>
      </w:r>
    </w:p>
    <w:p w14:paraId="59BBE070" w14:textId="77777777" w:rsidR="008B221C" w:rsidRPr="00B67BFA" w:rsidRDefault="008B221C" w:rsidP="008B221C">
      <w:pPr>
        <w:pStyle w:val="Standard"/>
        <w:tabs>
          <w:tab w:val="left" w:pos="9375"/>
        </w:tabs>
        <w:ind w:left="180"/>
        <w:rPr>
          <w:i/>
          <w:u w:val="single"/>
          <w:lang w:val="uk-UA"/>
        </w:rPr>
      </w:pPr>
      <w:r w:rsidRPr="00B67BFA">
        <w:rPr>
          <w:i/>
          <w:u w:val="single"/>
          <w:lang w:val="uk-UA"/>
        </w:rPr>
        <w:t>1. Загальна частина</w:t>
      </w:r>
    </w:p>
    <w:tbl>
      <w:tblPr>
        <w:tblW w:w="10340" w:type="dxa"/>
        <w:jc w:val="center"/>
        <w:tblLayout w:type="fixed"/>
        <w:tblCellMar>
          <w:left w:w="10" w:type="dxa"/>
          <w:right w:w="10" w:type="dxa"/>
        </w:tblCellMar>
        <w:tblLook w:val="04A0" w:firstRow="1" w:lastRow="0" w:firstColumn="1" w:lastColumn="0" w:noHBand="0" w:noVBand="1"/>
      </w:tblPr>
      <w:tblGrid>
        <w:gridCol w:w="663"/>
        <w:gridCol w:w="7552"/>
        <w:gridCol w:w="2125"/>
      </w:tblGrid>
      <w:tr w:rsidR="008B221C" w:rsidRPr="00B67BFA" w14:paraId="1D7196F8" w14:textId="77777777" w:rsidTr="008B221C">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79E10D7" w14:textId="77777777" w:rsidR="008B221C" w:rsidRPr="00B67BFA" w:rsidRDefault="008B221C">
            <w:pPr>
              <w:pStyle w:val="Standard"/>
              <w:jc w:val="center"/>
              <w:rPr>
                <w:lang w:val="uk-UA"/>
              </w:rPr>
            </w:pPr>
            <w:r w:rsidRPr="00B67BFA">
              <w:rPr>
                <w:lang w:val="uk-UA"/>
              </w:rPr>
              <w:t>№ з/п</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5F8CE04" w14:textId="77777777" w:rsidR="008B221C" w:rsidRPr="00B67BFA" w:rsidRDefault="008B221C">
            <w:pPr>
              <w:pStyle w:val="Standard"/>
              <w:ind w:left="360"/>
              <w:jc w:val="center"/>
              <w:rPr>
                <w:lang w:val="uk-UA"/>
              </w:rPr>
            </w:pPr>
            <w:r w:rsidRPr="00B67BFA">
              <w:rPr>
                <w:lang w:val="uk-UA"/>
              </w:rPr>
              <w:t>Вимоги замовника</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50434FC" w14:textId="5BDFB874" w:rsidR="008B221C" w:rsidRPr="00B67BFA" w:rsidRDefault="008B221C">
            <w:pPr>
              <w:pStyle w:val="Standard"/>
              <w:jc w:val="center"/>
              <w:rPr>
                <w:lang w:val="uk-UA"/>
              </w:rPr>
            </w:pPr>
            <w:r w:rsidRPr="00B67BFA">
              <w:rPr>
                <w:lang w:val="uk-UA"/>
              </w:rPr>
              <w:t>Підтвердження вимог учасником</w:t>
            </w:r>
            <w:r w:rsidR="00663900" w:rsidRPr="00B67BFA">
              <w:rPr>
                <w:lang w:val="uk-UA"/>
              </w:rPr>
              <w:t xml:space="preserve"> (так/ні)</w:t>
            </w:r>
          </w:p>
        </w:tc>
      </w:tr>
      <w:tr w:rsidR="008B221C" w:rsidRPr="00B67BFA" w14:paraId="6FE00FCA" w14:textId="77777777" w:rsidTr="008B221C">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9B95F64"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r w:rsidRPr="00B67BFA">
              <w:rPr>
                <w:lang w:val="uk-UA"/>
              </w:rPr>
              <w:t>1.</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78D5B1D" w14:textId="6D319FD8" w:rsidR="008B221C" w:rsidRPr="00B67BFA" w:rsidRDefault="007E1037" w:rsidP="008B221C">
            <w:pPr>
              <w:pStyle w:val="Standard"/>
              <w:numPr>
                <w:ilvl w:val="1"/>
                <w:numId w:val="10"/>
              </w:numPr>
              <w:tabs>
                <w:tab w:val="left" w:pos="0"/>
              </w:tabs>
              <w:suppressAutoHyphens w:val="0"/>
              <w:jc w:val="both"/>
              <w:textAlignment w:val="auto"/>
              <w:rPr>
                <w:lang w:val="uk-UA"/>
              </w:rPr>
            </w:pPr>
            <w:proofErr w:type="spellStart"/>
            <w:r w:rsidRPr="00B67BFA">
              <w:rPr>
                <w:lang w:val="uk-UA"/>
              </w:rPr>
              <w:t>Двухосний</w:t>
            </w:r>
            <w:proofErr w:type="spellEnd"/>
            <w:r w:rsidRPr="00B67BFA">
              <w:rPr>
                <w:lang w:val="uk-UA"/>
              </w:rPr>
              <w:t xml:space="preserve"> причіп-платформа </w:t>
            </w:r>
            <w:r w:rsidR="008B221C" w:rsidRPr="00B67BFA">
              <w:rPr>
                <w:lang w:val="uk-UA"/>
              </w:rPr>
              <w:t xml:space="preserve">– повинний бути новим, не </w:t>
            </w:r>
            <w:r w:rsidR="00663900" w:rsidRPr="00B67BFA">
              <w:rPr>
                <w:lang w:val="uk-UA"/>
              </w:rPr>
              <w:t>раніше</w:t>
            </w:r>
            <w:r w:rsidR="008B221C" w:rsidRPr="00B67BFA">
              <w:rPr>
                <w:lang w:val="uk-UA"/>
              </w:rPr>
              <w:t xml:space="preserve"> 2022 року випуску.</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ED54EF" w14:textId="77777777" w:rsidR="008B221C" w:rsidRPr="00B67BFA" w:rsidRDefault="008B221C" w:rsidP="008B221C">
            <w:pPr>
              <w:pStyle w:val="Standard"/>
              <w:numPr>
                <w:ilvl w:val="1"/>
                <w:numId w:val="10"/>
              </w:numPr>
              <w:textAlignment w:val="auto"/>
              <w:rPr>
                <w:rFonts w:cs="Times New Roman"/>
                <w:lang w:val="uk-UA" w:eastAsia="ar-SA"/>
              </w:rPr>
            </w:pPr>
          </w:p>
        </w:tc>
      </w:tr>
      <w:tr w:rsidR="008B221C" w:rsidRPr="00B67BFA" w14:paraId="75131C3E" w14:textId="77777777" w:rsidTr="008B221C">
        <w:trPr>
          <w:trHeight w:val="166"/>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1CAB6B7"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r w:rsidRPr="00B67BFA">
              <w:rPr>
                <w:lang w:val="uk-UA"/>
              </w:rPr>
              <w:t>2.</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8D0478C" w14:textId="77777777" w:rsidR="008B221C" w:rsidRPr="00B67BFA" w:rsidRDefault="008B221C" w:rsidP="008B221C">
            <w:pPr>
              <w:pStyle w:val="Standard"/>
              <w:numPr>
                <w:ilvl w:val="1"/>
                <w:numId w:val="10"/>
              </w:numPr>
              <w:tabs>
                <w:tab w:val="left" w:pos="0"/>
              </w:tabs>
              <w:suppressAutoHyphens w:val="0"/>
              <w:jc w:val="both"/>
              <w:textAlignment w:val="auto"/>
              <w:rPr>
                <w:lang w:val="uk-UA"/>
              </w:rPr>
            </w:pPr>
            <w:r w:rsidRPr="00B67BFA">
              <w:rPr>
                <w:lang w:val="uk-UA"/>
              </w:rPr>
              <w:t>Кількість –  1 од.</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55A120"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p>
        </w:tc>
      </w:tr>
    </w:tbl>
    <w:p w14:paraId="2B412275" w14:textId="77777777" w:rsidR="008B221C" w:rsidRPr="00B67BFA" w:rsidRDefault="008B221C" w:rsidP="00663900">
      <w:pPr>
        <w:pStyle w:val="Standard"/>
        <w:tabs>
          <w:tab w:val="left" w:pos="9552"/>
        </w:tabs>
        <w:rPr>
          <w:b/>
          <w:bCs/>
          <w:lang w:val="uk-UA"/>
        </w:rPr>
      </w:pPr>
    </w:p>
    <w:p w14:paraId="7CD3BF09" w14:textId="77777777" w:rsidR="008B221C" w:rsidRPr="00B67BFA" w:rsidRDefault="008B221C" w:rsidP="008B221C">
      <w:pPr>
        <w:pStyle w:val="Standard"/>
        <w:tabs>
          <w:tab w:val="left" w:pos="9375"/>
        </w:tabs>
        <w:ind w:left="180"/>
        <w:rPr>
          <w:i/>
          <w:u w:val="single"/>
          <w:lang w:val="uk-UA"/>
        </w:rPr>
      </w:pPr>
      <w:r w:rsidRPr="00B67BFA">
        <w:rPr>
          <w:i/>
          <w:u w:val="single"/>
          <w:lang w:val="uk-UA"/>
        </w:rPr>
        <w:t>2.Технічна частина</w:t>
      </w:r>
    </w:p>
    <w:p w14:paraId="6254C8FC" w14:textId="2B6D3C13" w:rsidR="008B221C" w:rsidRPr="00B67BFA" w:rsidRDefault="008B221C" w:rsidP="008B221C">
      <w:pPr>
        <w:pStyle w:val="Standard"/>
        <w:tabs>
          <w:tab w:val="left" w:pos="9552"/>
        </w:tabs>
        <w:ind w:left="357"/>
        <w:rPr>
          <w:rFonts w:cs="Times New Roman"/>
          <w:b/>
          <w:bCs/>
          <w:lang w:val="uk-UA"/>
        </w:rPr>
      </w:pPr>
      <w:r w:rsidRPr="00B67BFA">
        <w:rPr>
          <w:rFonts w:cs="Times New Roman"/>
          <w:lang w:val="uk-UA"/>
        </w:rPr>
        <w:t xml:space="preserve">Технічні характеристики </w:t>
      </w:r>
      <w:proofErr w:type="spellStart"/>
      <w:r w:rsidR="00D0195E">
        <w:rPr>
          <w:rFonts w:cs="Times New Roman"/>
          <w:b/>
          <w:bCs/>
          <w:lang w:val="uk-UA"/>
        </w:rPr>
        <w:t>д</w:t>
      </w:r>
      <w:r w:rsidR="00D0195E" w:rsidRPr="00D0195E">
        <w:rPr>
          <w:rFonts w:cs="Times New Roman"/>
          <w:b/>
          <w:bCs/>
          <w:lang w:val="uk-UA"/>
        </w:rPr>
        <w:t>вухосн</w:t>
      </w:r>
      <w:r w:rsidR="00D0195E">
        <w:rPr>
          <w:rFonts w:cs="Times New Roman"/>
          <w:b/>
          <w:bCs/>
          <w:lang w:val="uk-UA"/>
        </w:rPr>
        <w:t>ого</w:t>
      </w:r>
      <w:proofErr w:type="spellEnd"/>
      <w:r w:rsidR="00D0195E" w:rsidRPr="00D0195E">
        <w:rPr>
          <w:rFonts w:cs="Times New Roman"/>
          <w:b/>
          <w:bCs/>
          <w:lang w:val="uk-UA"/>
        </w:rPr>
        <w:t xml:space="preserve"> </w:t>
      </w:r>
      <w:proofErr w:type="spellStart"/>
      <w:r w:rsidR="00D0195E" w:rsidRPr="00D0195E">
        <w:rPr>
          <w:rFonts w:cs="Times New Roman"/>
          <w:b/>
          <w:bCs/>
          <w:lang w:val="uk-UA"/>
        </w:rPr>
        <w:t>причіп</w:t>
      </w:r>
      <w:r w:rsidR="00D0195E">
        <w:rPr>
          <w:rFonts w:cs="Times New Roman"/>
          <w:b/>
          <w:bCs/>
          <w:lang w:val="uk-UA"/>
        </w:rPr>
        <w:t>а</w:t>
      </w:r>
      <w:proofErr w:type="spellEnd"/>
      <w:r w:rsidR="00D0195E" w:rsidRPr="00D0195E">
        <w:rPr>
          <w:rFonts w:cs="Times New Roman"/>
          <w:b/>
          <w:bCs/>
          <w:lang w:val="uk-UA"/>
        </w:rPr>
        <w:t>-платформ</w:t>
      </w:r>
      <w:r w:rsidR="00D0195E">
        <w:rPr>
          <w:rFonts w:cs="Times New Roman"/>
          <w:b/>
          <w:bCs/>
          <w:lang w:val="uk-UA"/>
        </w:rPr>
        <w:t>и</w:t>
      </w:r>
    </w:p>
    <w:p w14:paraId="69AF4A2E" w14:textId="77777777" w:rsidR="008B221C" w:rsidRPr="00B67BFA" w:rsidRDefault="008B221C" w:rsidP="008B221C">
      <w:pPr>
        <w:pStyle w:val="a6"/>
        <w:shd w:val="clear" w:color="auto" w:fill="FFFFFF"/>
        <w:spacing w:before="0" w:beforeAutospacing="0" w:after="0" w:afterAutospacing="0"/>
        <w:ind w:firstLine="567"/>
        <w:jc w:val="both"/>
        <w:rPr>
          <w:color w:val="000000"/>
          <w:lang w:val="uk-UA"/>
        </w:rPr>
      </w:pPr>
    </w:p>
    <w:tbl>
      <w:tblPr>
        <w:tblW w:w="10210" w:type="dxa"/>
        <w:tblInd w:w="-416" w:type="dxa"/>
        <w:tblLayout w:type="fixed"/>
        <w:tblCellMar>
          <w:left w:w="10" w:type="dxa"/>
          <w:right w:w="10" w:type="dxa"/>
        </w:tblCellMar>
        <w:tblLook w:val="04A0" w:firstRow="1" w:lastRow="0" w:firstColumn="1" w:lastColumn="0" w:noHBand="0" w:noVBand="1"/>
      </w:tblPr>
      <w:tblGrid>
        <w:gridCol w:w="691"/>
        <w:gridCol w:w="7534"/>
        <w:gridCol w:w="1985"/>
      </w:tblGrid>
      <w:tr w:rsidR="008B221C" w:rsidRPr="00B67BFA" w14:paraId="3B6CA123" w14:textId="77777777" w:rsidTr="00DD0B53">
        <w:trPr>
          <w:trHeight w:val="287"/>
        </w:trPr>
        <w:tc>
          <w:tcPr>
            <w:tcW w:w="691" w:type="dxa"/>
            <w:tcBorders>
              <w:top w:val="single" w:sz="4" w:space="0" w:color="00000A"/>
              <w:left w:val="single" w:sz="4" w:space="0" w:color="00000A"/>
              <w:bottom w:val="single" w:sz="4" w:space="0" w:color="00000A"/>
              <w:right w:val="single" w:sz="4" w:space="0" w:color="00000A"/>
            </w:tcBorders>
            <w:hideMark/>
          </w:tcPr>
          <w:p w14:paraId="04BDB05D" w14:textId="77777777" w:rsidR="008B221C" w:rsidRPr="00B67BFA" w:rsidRDefault="008B221C">
            <w:pPr>
              <w:tabs>
                <w:tab w:val="left" w:pos="0"/>
              </w:tabs>
              <w:jc w:val="center"/>
            </w:pPr>
            <w:r w:rsidRPr="00B67BFA">
              <w:t>№    з/п</w:t>
            </w: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C23979A" w14:textId="77777777" w:rsidR="008B221C" w:rsidRPr="00B67BFA" w:rsidRDefault="008B221C">
            <w:pPr>
              <w:pStyle w:val="Standard"/>
              <w:jc w:val="center"/>
              <w:rPr>
                <w:lang w:val="uk-UA"/>
              </w:rPr>
            </w:pPr>
            <w:r w:rsidRPr="00B67BFA">
              <w:rPr>
                <w:lang w:val="uk-UA"/>
              </w:rPr>
              <w:t>Найменування технічних та якісних характеристик</w:t>
            </w:r>
          </w:p>
        </w:tc>
        <w:tc>
          <w:tcPr>
            <w:tcW w:w="1985" w:type="dxa"/>
            <w:tcBorders>
              <w:top w:val="single" w:sz="4" w:space="0" w:color="00000A"/>
              <w:left w:val="single" w:sz="4" w:space="0" w:color="00000A"/>
              <w:bottom w:val="single" w:sz="4" w:space="0" w:color="00000A"/>
              <w:right w:val="single" w:sz="4" w:space="0" w:color="00000A"/>
            </w:tcBorders>
          </w:tcPr>
          <w:p w14:paraId="7C7BFB82" w14:textId="1DF6D8BB" w:rsidR="008B221C" w:rsidRPr="00B67BFA" w:rsidRDefault="00663900">
            <w:pPr>
              <w:ind w:left="120" w:hanging="120"/>
              <w:jc w:val="center"/>
              <w:rPr>
                <w:b/>
                <w:color w:val="FF0000"/>
              </w:rPr>
            </w:pPr>
            <w:r w:rsidRPr="00B67BFA">
              <w:t>Підтвердження вимог учасником (так/ні)</w:t>
            </w:r>
          </w:p>
        </w:tc>
      </w:tr>
      <w:tr w:rsidR="008B221C" w:rsidRPr="00B67BFA" w14:paraId="7EC1B2F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16E9FBE" w14:textId="77777777" w:rsidR="008B221C" w:rsidRPr="00B67BFA" w:rsidRDefault="008B221C" w:rsidP="007E1037">
            <w:pPr>
              <w:numPr>
                <w:ilvl w:val="0"/>
                <w:numId w:val="11"/>
              </w:numPr>
              <w:ind w:left="0" w:firstLine="0"/>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F328AC" w14:textId="07DDDC5C" w:rsidR="008B221C" w:rsidRPr="00B67BFA" w:rsidRDefault="007E1037">
            <w:pPr>
              <w:jc w:val="both"/>
              <w:rPr>
                <w:rFonts w:eastAsia="Calibri"/>
                <w:kern w:val="0"/>
                <w:lang w:bidi="ar-SA"/>
              </w:rPr>
            </w:pPr>
            <w:r w:rsidRPr="00B67BFA">
              <w:t>Габаритний</w:t>
            </w:r>
            <w:r w:rsidRPr="00B67BFA">
              <w:rPr>
                <w:spacing w:val="-4"/>
              </w:rPr>
              <w:t xml:space="preserve"> </w:t>
            </w:r>
            <w:r w:rsidRPr="00B67BFA">
              <w:t>розмір</w:t>
            </w:r>
            <w:r w:rsidRPr="00B67BFA">
              <w:rPr>
                <w:spacing w:val="-3"/>
              </w:rPr>
              <w:t xml:space="preserve"> </w:t>
            </w:r>
            <w:r w:rsidR="00A249EC" w:rsidRPr="00B67BFA">
              <w:rPr>
                <w:spacing w:val="-3"/>
              </w:rPr>
              <w:t>– не більше</w:t>
            </w:r>
            <w:r w:rsidRPr="00B67BFA">
              <w:rPr>
                <w:spacing w:val="-3"/>
              </w:rPr>
              <w:t xml:space="preserve"> </w:t>
            </w:r>
            <w:r w:rsidRPr="00B67BFA">
              <w:t>5400х2350х900мм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5A6C107F" w14:textId="77777777" w:rsidR="008B221C" w:rsidRPr="00B67BFA" w:rsidRDefault="008B221C">
            <w:pPr>
              <w:ind w:left="132" w:right="132"/>
            </w:pPr>
          </w:p>
        </w:tc>
      </w:tr>
      <w:tr w:rsidR="008B221C" w:rsidRPr="00B67BFA" w14:paraId="7BC38B7C"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67FAF3CF" w14:textId="77777777" w:rsidR="008B221C" w:rsidRPr="00B67BFA" w:rsidRDefault="008B221C" w:rsidP="007E1037">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683CD2" w14:textId="53DE3D91" w:rsidR="008B221C" w:rsidRPr="00B67BFA" w:rsidRDefault="007E1037">
            <w:pPr>
              <w:jc w:val="both"/>
              <w:rPr>
                <w:rFonts w:eastAsia="Calibri"/>
                <w:kern w:val="0"/>
                <w:lang w:bidi="ar-SA"/>
              </w:rPr>
            </w:pPr>
            <w:r w:rsidRPr="00B67BFA">
              <w:rPr>
                <w:rFonts w:eastAsia="Calibri"/>
                <w:kern w:val="0"/>
                <w:lang w:bidi="ar-SA"/>
              </w:rPr>
              <w:t xml:space="preserve">Розмір вантажної платформи </w:t>
            </w:r>
            <w:r w:rsidR="00A249EC" w:rsidRPr="00B67BFA">
              <w:rPr>
                <w:rFonts w:eastAsia="Calibri"/>
                <w:kern w:val="0"/>
                <w:lang w:bidi="ar-SA"/>
              </w:rPr>
              <w:t xml:space="preserve"> не менше </w:t>
            </w:r>
            <w:r w:rsidRPr="00B67BFA">
              <w:rPr>
                <w:rFonts w:eastAsia="Calibri"/>
                <w:kern w:val="0"/>
                <w:lang w:bidi="ar-SA"/>
              </w:rPr>
              <w:t>- 4300х1700мм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36F1F7FE" w14:textId="77777777" w:rsidR="008B221C" w:rsidRPr="00B67BFA" w:rsidRDefault="008B221C">
            <w:pPr>
              <w:ind w:left="132" w:right="132"/>
            </w:pPr>
          </w:p>
        </w:tc>
      </w:tr>
      <w:tr w:rsidR="008B221C" w:rsidRPr="00B67BFA" w14:paraId="71BD0E2D"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17CB0770"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E92309" w14:textId="1C8412DD" w:rsidR="008B221C" w:rsidRPr="00B67BFA" w:rsidRDefault="007E1037">
            <w:pPr>
              <w:jc w:val="both"/>
              <w:rPr>
                <w:rFonts w:eastAsia="Calibri"/>
                <w:kern w:val="0"/>
                <w:lang w:bidi="ar-SA"/>
              </w:rPr>
            </w:pPr>
            <w:r w:rsidRPr="00B67BFA">
              <w:rPr>
                <w:rFonts w:eastAsia="Calibri"/>
                <w:kern w:val="0"/>
                <w:lang w:bidi="ar-SA"/>
              </w:rPr>
              <w:t xml:space="preserve">Повна маса </w:t>
            </w:r>
            <w:r w:rsidR="00A249EC" w:rsidRPr="00B67BFA">
              <w:rPr>
                <w:rFonts w:eastAsia="Calibri"/>
                <w:kern w:val="0"/>
                <w:lang w:bidi="ar-SA"/>
              </w:rPr>
              <w:t>–</w:t>
            </w:r>
            <w:r w:rsidRPr="00B67BFA">
              <w:rPr>
                <w:rFonts w:eastAsia="Calibri"/>
                <w:kern w:val="0"/>
                <w:lang w:bidi="ar-SA"/>
              </w:rPr>
              <w:t xml:space="preserve"> </w:t>
            </w:r>
            <w:r w:rsidR="00A249EC" w:rsidRPr="00B67BFA">
              <w:rPr>
                <w:rFonts w:eastAsia="Calibri"/>
                <w:kern w:val="0"/>
                <w:lang w:bidi="ar-SA"/>
              </w:rPr>
              <w:t xml:space="preserve">не більше </w:t>
            </w:r>
            <w:r w:rsidRPr="00B67BFA">
              <w:rPr>
                <w:rFonts w:eastAsia="Calibri"/>
                <w:kern w:val="0"/>
                <w:lang w:bidi="ar-SA"/>
              </w:rPr>
              <w:t>3000</w:t>
            </w:r>
            <w:r w:rsidR="00A249EC" w:rsidRPr="00B67BFA">
              <w:rPr>
                <w:rFonts w:eastAsia="Calibri"/>
                <w:kern w:val="0"/>
                <w:lang w:bidi="ar-SA"/>
              </w:rPr>
              <w:t xml:space="preserve"> </w:t>
            </w:r>
            <w:r w:rsidRPr="00B67BFA">
              <w:rPr>
                <w:rFonts w:eastAsia="Calibri"/>
                <w:kern w:val="0"/>
                <w:lang w:bidi="ar-SA"/>
              </w:rPr>
              <w:t>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24F1F7D3" w14:textId="77777777" w:rsidR="008B221C" w:rsidRPr="00B67BFA" w:rsidRDefault="008B221C">
            <w:pPr>
              <w:ind w:left="132" w:right="132"/>
            </w:pPr>
          </w:p>
        </w:tc>
      </w:tr>
      <w:tr w:rsidR="008B221C" w:rsidRPr="00B67BFA" w14:paraId="3562F4AD"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7CD5BAD9" w14:textId="77777777" w:rsidR="008B221C" w:rsidRPr="00B67BFA" w:rsidRDefault="008B221C" w:rsidP="00663900">
            <w:pPr>
              <w:numPr>
                <w:ilvl w:val="0"/>
                <w:numId w:val="11"/>
              </w:numPr>
              <w:ind w:left="431"/>
              <w:jc w:val="center"/>
              <w:rPr>
                <w:color w:val="000000"/>
              </w:rP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6E0341" w14:textId="0075CFDC" w:rsidR="008B221C" w:rsidRPr="00B67BFA" w:rsidRDefault="007E1037">
            <w:pPr>
              <w:jc w:val="both"/>
              <w:rPr>
                <w:rFonts w:eastAsia="Calibri"/>
                <w:color w:val="000000"/>
                <w:kern w:val="0"/>
                <w:lang w:bidi="ar-SA"/>
              </w:rPr>
            </w:pPr>
            <w:r w:rsidRPr="00B67BFA">
              <w:rPr>
                <w:rFonts w:eastAsia="Calibri"/>
                <w:color w:val="000000"/>
                <w:kern w:val="0"/>
                <w:lang w:bidi="ar-SA"/>
              </w:rPr>
              <w:t xml:space="preserve">Вантажопідйомність - </w:t>
            </w:r>
            <w:r w:rsidR="00A249EC" w:rsidRPr="00B67BFA">
              <w:rPr>
                <w:rFonts w:eastAsia="Calibri"/>
                <w:color w:val="000000"/>
                <w:kern w:val="0"/>
                <w:lang w:bidi="ar-SA"/>
              </w:rPr>
              <w:t xml:space="preserve">не менше </w:t>
            </w:r>
            <w:r w:rsidRPr="00B67BFA">
              <w:rPr>
                <w:rFonts w:eastAsia="Calibri"/>
                <w:color w:val="000000"/>
                <w:kern w:val="0"/>
                <w:lang w:bidi="ar-SA"/>
              </w:rPr>
              <w:t>2300кг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4D7FA828" w14:textId="77777777" w:rsidR="008B221C" w:rsidRPr="00B67BFA" w:rsidRDefault="008B221C">
            <w:pPr>
              <w:ind w:left="132" w:right="132"/>
              <w:rPr>
                <w:color w:val="FF0000"/>
              </w:rPr>
            </w:pPr>
          </w:p>
        </w:tc>
      </w:tr>
      <w:tr w:rsidR="008B221C" w:rsidRPr="00B67BFA" w14:paraId="25F7B24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30516B23"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87F2D5" w14:textId="5C95BF9E" w:rsidR="008B221C" w:rsidRPr="00B67BFA" w:rsidRDefault="007E1037">
            <w:pPr>
              <w:jc w:val="both"/>
              <w:rPr>
                <w:rFonts w:eastAsia="Calibri"/>
                <w:kern w:val="0"/>
                <w:lang w:bidi="ar-SA"/>
              </w:rPr>
            </w:pPr>
            <w:r w:rsidRPr="00B67BFA">
              <w:rPr>
                <w:rFonts w:eastAsia="Calibri"/>
                <w:kern w:val="0"/>
                <w:lang w:bidi="ar-SA"/>
              </w:rPr>
              <w:t xml:space="preserve">Рама оцинкована (гарячий цинк) з </w:t>
            </w:r>
            <w:proofErr w:type="spellStart"/>
            <w:r w:rsidRPr="00B67BFA">
              <w:rPr>
                <w:rFonts w:eastAsia="Calibri"/>
                <w:kern w:val="0"/>
                <w:lang w:bidi="ar-SA"/>
              </w:rPr>
              <w:t>продольним</w:t>
            </w:r>
            <w:proofErr w:type="spellEnd"/>
            <w:r w:rsidRPr="00B67BFA">
              <w:rPr>
                <w:rFonts w:eastAsia="Calibri"/>
                <w:kern w:val="0"/>
                <w:lang w:bidi="ar-SA"/>
              </w:rPr>
              <w:t xml:space="preserve"> посиленням під </w:t>
            </w:r>
            <w:bookmarkStart w:id="0" w:name="_GoBack"/>
            <w:r w:rsidRPr="00B67BFA">
              <w:rPr>
                <w:rFonts w:eastAsia="Calibri"/>
                <w:kern w:val="0"/>
                <w:lang w:bidi="ar-SA"/>
              </w:rPr>
              <w:t>екс</w:t>
            </w:r>
            <w:bookmarkEnd w:id="0"/>
            <w:r w:rsidRPr="00B67BFA">
              <w:rPr>
                <w:rFonts w:eastAsia="Calibri"/>
                <w:kern w:val="0"/>
                <w:lang w:bidi="ar-SA"/>
              </w:rPr>
              <w:t>каватор</w:t>
            </w:r>
          </w:p>
        </w:tc>
        <w:tc>
          <w:tcPr>
            <w:tcW w:w="1985" w:type="dxa"/>
            <w:tcBorders>
              <w:top w:val="single" w:sz="4" w:space="0" w:color="00000A"/>
              <w:left w:val="single" w:sz="4" w:space="0" w:color="00000A"/>
              <w:bottom w:val="single" w:sz="4" w:space="0" w:color="00000A"/>
              <w:right w:val="single" w:sz="4" w:space="0" w:color="00000A"/>
            </w:tcBorders>
            <w:vAlign w:val="center"/>
          </w:tcPr>
          <w:p w14:paraId="007BBC69" w14:textId="77777777" w:rsidR="008B221C" w:rsidRPr="00B67BFA" w:rsidRDefault="008B221C">
            <w:pPr>
              <w:ind w:left="132" w:right="132"/>
            </w:pPr>
          </w:p>
        </w:tc>
      </w:tr>
      <w:tr w:rsidR="008B221C" w:rsidRPr="00B67BFA" w14:paraId="5A20C9A3"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A7E449A"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1A96E2" w14:textId="5F9F4969" w:rsidR="008B221C" w:rsidRPr="00B67BFA" w:rsidRDefault="007E1037">
            <w:pPr>
              <w:jc w:val="both"/>
              <w:rPr>
                <w:rFonts w:eastAsia="Calibri"/>
                <w:kern w:val="0"/>
                <w:lang w:bidi="ar-SA"/>
              </w:rPr>
            </w:pPr>
            <w:r w:rsidRPr="00B67BFA">
              <w:rPr>
                <w:rFonts w:eastAsia="Calibri"/>
                <w:kern w:val="0"/>
                <w:lang w:bidi="ar-SA"/>
              </w:rPr>
              <w:t>Підлога та борти (висота 330</w:t>
            </w:r>
            <w:r w:rsidR="003A4D11" w:rsidRPr="00B67BFA">
              <w:rPr>
                <w:rFonts w:eastAsia="Calibri"/>
                <w:kern w:val="0"/>
                <w:lang w:bidi="ar-SA"/>
              </w:rPr>
              <w:t xml:space="preserve">-350 </w:t>
            </w:r>
            <w:r w:rsidRPr="00B67BFA">
              <w:rPr>
                <w:rFonts w:eastAsia="Calibri"/>
                <w:kern w:val="0"/>
                <w:lang w:bidi="ar-SA"/>
              </w:rPr>
              <w:t xml:space="preserve">мм.) з водостійкої ламінованої фанери товщиною </w:t>
            </w:r>
            <w:r w:rsidR="003A4D11" w:rsidRPr="00B67BFA">
              <w:rPr>
                <w:rFonts w:eastAsia="Calibri"/>
                <w:kern w:val="0"/>
                <w:lang w:bidi="ar-SA"/>
              </w:rPr>
              <w:t xml:space="preserve">не менше </w:t>
            </w:r>
            <w:r w:rsidRPr="00B67BFA">
              <w:rPr>
                <w:rFonts w:eastAsia="Calibri"/>
                <w:kern w:val="0"/>
                <w:lang w:bidi="ar-SA"/>
              </w:rPr>
              <w:t>15мм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1C1B3083" w14:textId="77777777" w:rsidR="008B221C" w:rsidRPr="00B67BFA" w:rsidRDefault="008B221C">
            <w:pPr>
              <w:ind w:left="132" w:right="132"/>
            </w:pPr>
          </w:p>
        </w:tc>
      </w:tr>
      <w:tr w:rsidR="008B221C" w:rsidRPr="00B67BFA" w14:paraId="3B525A29"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36E446F6"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830F8D" w14:textId="766B5298" w:rsidR="008B221C" w:rsidRPr="00B67BFA" w:rsidRDefault="007E1037" w:rsidP="001C16B3">
            <w:pPr>
              <w:jc w:val="both"/>
              <w:rPr>
                <w:rFonts w:eastAsia="Calibri"/>
                <w:kern w:val="0"/>
                <w:lang w:bidi="ar-SA"/>
              </w:rPr>
            </w:pPr>
            <w:r w:rsidRPr="00B67BFA">
              <w:rPr>
                <w:rFonts w:eastAsia="Calibri"/>
                <w:kern w:val="0"/>
                <w:lang w:bidi="ar-SA"/>
              </w:rPr>
              <w:t>Дві шестигранних торсіонних осі виробництва</w:t>
            </w:r>
            <w:r w:rsidR="001C16B3" w:rsidRPr="00B67BFA">
              <w:rPr>
                <w:rFonts w:eastAsia="Calibri"/>
                <w:kern w:val="0"/>
                <w:lang w:bidi="ar-SA"/>
              </w:rPr>
              <w:t xml:space="preserve"> </w:t>
            </w:r>
            <w:r w:rsidRPr="00B67BFA">
              <w:rPr>
                <w:rFonts w:eastAsia="Calibri"/>
                <w:kern w:val="0"/>
                <w:lang w:bidi="ar-SA"/>
              </w:rPr>
              <w:t xml:space="preserve"> «KNOTT»</w:t>
            </w:r>
            <w:r w:rsidR="001C16B3" w:rsidRPr="00B67BFA">
              <w:t xml:space="preserve"> </w:t>
            </w:r>
            <w:r w:rsidR="001C16B3" w:rsidRPr="00B67BFA">
              <w:rPr>
                <w:rFonts w:eastAsia="Calibri"/>
                <w:kern w:val="0"/>
                <w:lang w:bidi="ar-SA"/>
              </w:rPr>
              <w:t>Німеччина</w:t>
            </w:r>
            <w:r w:rsidRPr="00B67BFA">
              <w:rPr>
                <w:rFonts w:eastAsia="Calibri"/>
                <w:kern w:val="0"/>
                <w:lang w:bidi="ar-SA"/>
              </w:rPr>
              <w:t xml:space="preserve"> </w:t>
            </w:r>
            <w:r w:rsidR="001C16B3" w:rsidRPr="00B67BFA">
              <w:rPr>
                <w:rFonts w:eastAsia="Calibri"/>
                <w:kern w:val="0"/>
                <w:lang w:bidi="ar-SA"/>
              </w:rPr>
              <w:t xml:space="preserve">або еквівалент </w:t>
            </w:r>
            <w:r w:rsidRPr="00B67BFA">
              <w:rPr>
                <w:rFonts w:eastAsia="Calibri"/>
                <w:kern w:val="0"/>
                <w:lang w:bidi="ar-SA"/>
              </w:rPr>
              <w:t xml:space="preserve"> (в/п</w:t>
            </w:r>
            <w:r w:rsidR="003A4D11" w:rsidRPr="00B67BFA">
              <w:rPr>
                <w:rFonts w:eastAsia="Calibri"/>
                <w:kern w:val="0"/>
                <w:lang w:bidi="ar-SA"/>
              </w:rPr>
              <w:t xml:space="preserve"> не менше </w:t>
            </w:r>
            <w:r w:rsidRPr="00B67BFA">
              <w:rPr>
                <w:rFonts w:eastAsia="Calibri"/>
                <w:kern w:val="0"/>
                <w:lang w:bidi="ar-SA"/>
              </w:rPr>
              <w:t xml:space="preserve"> 2х1500кг) з гальмами</w:t>
            </w:r>
            <w:r w:rsidR="00A249EC" w:rsidRPr="00B67BFA">
              <w:rPr>
                <w:rFonts w:eastAsia="Calibri"/>
                <w:kern w:val="0"/>
                <w:lang w:bidi="ar-SA"/>
              </w:rPr>
              <w:t xml:space="preserve"> </w:t>
            </w:r>
          </w:p>
        </w:tc>
        <w:tc>
          <w:tcPr>
            <w:tcW w:w="1985" w:type="dxa"/>
            <w:tcBorders>
              <w:top w:val="single" w:sz="4" w:space="0" w:color="00000A"/>
              <w:left w:val="single" w:sz="4" w:space="0" w:color="00000A"/>
              <w:bottom w:val="single" w:sz="4" w:space="0" w:color="00000A"/>
              <w:right w:val="single" w:sz="4" w:space="0" w:color="00000A"/>
            </w:tcBorders>
            <w:vAlign w:val="center"/>
          </w:tcPr>
          <w:p w14:paraId="34F8794D" w14:textId="77777777" w:rsidR="008B221C" w:rsidRPr="00B67BFA" w:rsidRDefault="008B221C">
            <w:pPr>
              <w:ind w:left="132" w:right="132"/>
            </w:pPr>
          </w:p>
        </w:tc>
      </w:tr>
      <w:tr w:rsidR="008B221C" w:rsidRPr="00B67BFA" w14:paraId="2999A527"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6159B2E8"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314A38" w14:textId="02E65A97" w:rsidR="008B221C" w:rsidRPr="00B67BFA" w:rsidRDefault="007E1037">
            <w:pPr>
              <w:jc w:val="both"/>
              <w:rPr>
                <w:rFonts w:eastAsia="Calibri"/>
                <w:kern w:val="0"/>
                <w:lang w:bidi="ar-SA"/>
              </w:rPr>
            </w:pPr>
            <w:r w:rsidRPr="00B67BFA">
              <w:rPr>
                <w:rFonts w:eastAsia="Calibri"/>
                <w:kern w:val="0"/>
                <w:lang w:bidi="ar-SA"/>
              </w:rPr>
              <w:t>Опорне колесо на 300кг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02F91B51" w14:textId="77777777" w:rsidR="008B221C" w:rsidRPr="00B67BFA" w:rsidRDefault="008B221C">
            <w:pPr>
              <w:ind w:left="132" w:right="132"/>
            </w:pPr>
          </w:p>
        </w:tc>
      </w:tr>
      <w:tr w:rsidR="008B221C" w:rsidRPr="00B67BFA" w14:paraId="3D0D4408"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0661A1E4"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8C4E57" w14:textId="0A1670A6" w:rsidR="008B221C" w:rsidRPr="00B67BFA" w:rsidRDefault="007E1037" w:rsidP="001C16B3">
            <w:pPr>
              <w:jc w:val="both"/>
              <w:rPr>
                <w:rFonts w:eastAsia="Calibri"/>
                <w:kern w:val="0"/>
                <w:lang w:bidi="ar-SA"/>
              </w:rPr>
            </w:pPr>
            <w:r w:rsidRPr="00B67BFA">
              <w:rPr>
                <w:rFonts w:eastAsia="Calibri"/>
                <w:kern w:val="0"/>
                <w:lang w:bidi="ar-SA"/>
              </w:rPr>
              <w:t>М</w:t>
            </w:r>
            <w:r w:rsidR="001C16B3" w:rsidRPr="00B67BFA">
              <w:rPr>
                <w:rFonts w:eastAsia="Calibri"/>
                <w:kern w:val="0"/>
                <w:lang w:bidi="ar-SA"/>
              </w:rPr>
              <w:t xml:space="preserve">еханічні гальма </w:t>
            </w:r>
            <w:proofErr w:type="spellStart"/>
            <w:r w:rsidR="001C16B3" w:rsidRPr="00B67BFA">
              <w:rPr>
                <w:rFonts w:eastAsia="Calibri"/>
                <w:kern w:val="0"/>
                <w:lang w:bidi="ar-SA"/>
              </w:rPr>
              <w:t>наката</w:t>
            </w:r>
            <w:proofErr w:type="spellEnd"/>
            <w:r w:rsidR="001C16B3" w:rsidRPr="00B67BFA">
              <w:rPr>
                <w:rFonts w:eastAsia="Calibri"/>
                <w:kern w:val="0"/>
                <w:lang w:bidi="ar-SA"/>
              </w:rPr>
              <w:t xml:space="preserve"> </w:t>
            </w:r>
            <w:r w:rsidRPr="00B67BFA">
              <w:rPr>
                <w:rFonts w:eastAsia="Calibri"/>
                <w:kern w:val="0"/>
                <w:lang w:bidi="ar-SA"/>
              </w:rPr>
              <w:t xml:space="preserve"> «KNOTT» Німеччина</w:t>
            </w:r>
            <w:r w:rsidR="001C16B3" w:rsidRPr="00B67BFA">
              <w:rPr>
                <w:rFonts w:eastAsia="Calibri"/>
                <w:kern w:val="0"/>
                <w:lang w:bidi="ar-SA"/>
              </w:rPr>
              <w:t xml:space="preserve"> або еквівалент</w:t>
            </w:r>
            <w:r w:rsidRPr="00B67BFA">
              <w:rPr>
                <w:rFonts w:eastAsia="Calibri"/>
                <w:kern w:val="0"/>
                <w:lang w:bidi="ar-SA"/>
              </w:rPr>
              <w:t xml:space="preserve"> с замковим пристро</w:t>
            </w:r>
            <w:r w:rsidR="006D0FAB" w:rsidRPr="00B67BFA">
              <w:rPr>
                <w:rFonts w:eastAsia="Calibri"/>
                <w:kern w:val="0"/>
                <w:lang w:bidi="ar-SA"/>
              </w:rPr>
              <w:t>є</w:t>
            </w:r>
            <w:r w:rsidRPr="00B67BFA">
              <w:rPr>
                <w:rFonts w:eastAsia="Calibri"/>
                <w:kern w:val="0"/>
                <w:lang w:bidi="ar-SA"/>
              </w:rPr>
              <w:t xml:space="preserve">м на кулю (навантаження </w:t>
            </w:r>
            <w:r w:rsidR="003A4D11" w:rsidRPr="00B67BFA">
              <w:rPr>
                <w:rFonts w:eastAsia="Calibri"/>
                <w:kern w:val="0"/>
                <w:lang w:bidi="ar-SA"/>
              </w:rPr>
              <w:t xml:space="preserve">не менше </w:t>
            </w:r>
            <w:r w:rsidRPr="00B67BFA">
              <w:rPr>
                <w:rFonts w:eastAsia="Calibri"/>
                <w:kern w:val="0"/>
                <w:lang w:bidi="ar-SA"/>
              </w:rPr>
              <w:t>3000кг, висота зачепу 395-495мм. від землі)</w:t>
            </w:r>
          </w:p>
        </w:tc>
        <w:tc>
          <w:tcPr>
            <w:tcW w:w="1985" w:type="dxa"/>
            <w:tcBorders>
              <w:top w:val="single" w:sz="4" w:space="0" w:color="00000A"/>
              <w:left w:val="single" w:sz="4" w:space="0" w:color="00000A"/>
              <w:bottom w:val="single" w:sz="4" w:space="0" w:color="00000A"/>
              <w:right w:val="single" w:sz="4" w:space="0" w:color="00000A"/>
            </w:tcBorders>
            <w:vAlign w:val="center"/>
          </w:tcPr>
          <w:p w14:paraId="23A64762" w14:textId="77777777" w:rsidR="008B221C" w:rsidRPr="00B67BFA" w:rsidRDefault="008B221C">
            <w:pPr>
              <w:ind w:left="132" w:right="132"/>
            </w:pPr>
          </w:p>
        </w:tc>
      </w:tr>
      <w:tr w:rsidR="008B221C" w:rsidRPr="00B67BFA" w14:paraId="08377838"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40F7C10C" w14:textId="77777777" w:rsidR="008B221C" w:rsidRPr="00B67BFA" w:rsidRDefault="008B221C" w:rsidP="00663900">
            <w:pPr>
              <w:numPr>
                <w:ilvl w:val="0"/>
                <w:numId w:val="11"/>
              </w:numPr>
              <w:ind w:left="431"/>
              <w:jc w:val="center"/>
              <w:rPr>
                <w:color w:val="000000"/>
              </w:rP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B5B08A" w14:textId="1236D007" w:rsidR="008B221C" w:rsidRPr="00B67BFA" w:rsidRDefault="007E1037">
            <w:pPr>
              <w:jc w:val="both"/>
              <w:rPr>
                <w:rFonts w:eastAsia="Calibri"/>
                <w:color w:val="000000"/>
                <w:kern w:val="0"/>
                <w:lang w:bidi="ar-SA"/>
              </w:rPr>
            </w:pPr>
            <w:r w:rsidRPr="00B67BFA">
              <w:rPr>
                <w:rFonts w:eastAsia="Calibri"/>
                <w:color w:val="000000"/>
                <w:kern w:val="0"/>
                <w:lang w:bidi="ar-SA"/>
              </w:rPr>
              <w:t xml:space="preserve">Трапи </w:t>
            </w:r>
            <w:r w:rsidR="003A4D11" w:rsidRPr="00B67BFA">
              <w:rPr>
                <w:rFonts w:eastAsia="Calibri"/>
                <w:color w:val="000000"/>
                <w:kern w:val="0"/>
                <w:lang w:bidi="ar-SA"/>
              </w:rPr>
              <w:t xml:space="preserve">не менше </w:t>
            </w:r>
            <w:r w:rsidRPr="00B67BFA">
              <w:rPr>
                <w:rFonts w:eastAsia="Calibri"/>
                <w:color w:val="000000"/>
                <w:kern w:val="0"/>
                <w:lang w:bidi="ar-SA"/>
              </w:rPr>
              <w:t>1800х300мм. для заїзду екскаватору з кріпленням на борт</w:t>
            </w:r>
          </w:p>
        </w:tc>
        <w:tc>
          <w:tcPr>
            <w:tcW w:w="1985" w:type="dxa"/>
            <w:tcBorders>
              <w:top w:val="single" w:sz="4" w:space="0" w:color="00000A"/>
              <w:left w:val="single" w:sz="4" w:space="0" w:color="00000A"/>
              <w:bottom w:val="single" w:sz="4" w:space="0" w:color="00000A"/>
              <w:right w:val="single" w:sz="4" w:space="0" w:color="00000A"/>
            </w:tcBorders>
            <w:vAlign w:val="center"/>
          </w:tcPr>
          <w:p w14:paraId="04428D68" w14:textId="77777777" w:rsidR="008B221C" w:rsidRPr="00B67BFA" w:rsidRDefault="008B221C">
            <w:pPr>
              <w:ind w:left="132" w:right="132"/>
              <w:rPr>
                <w:color w:val="FF0000"/>
              </w:rPr>
            </w:pPr>
          </w:p>
        </w:tc>
      </w:tr>
      <w:tr w:rsidR="008B221C" w:rsidRPr="00B67BFA" w14:paraId="4C1D7923"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30BC0FA"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F71F59" w14:textId="056AA69F" w:rsidR="008B221C" w:rsidRPr="00B67BFA" w:rsidRDefault="007E1037">
            <w:pPr>
              <w:jc w:val="both"/>
              <w:rPr>
                <w:rFonts w:eastAsia="Calibri"/>
                <w:kern w:val="0"/>
                <w:lang w:bidi="ar-SA"/>
              </w:rPr>
            </w:pPr>
            <w:r w:rsidRPr="00B67BFA">
              <w:rPr>
                <w:rFonts w:eastAsia="Calibri"/>
                <w:kern w:val="0"/>
                <w:lang w:bidi="ar-SA"/>
              </w:rPr>
              <w:t>Зачепи на підлогу для кріплення техніки ременями</w:t>
            </w:r>
          </w:p>
        </w:tc>
        <w:tc>
          <w:tcPr>
            <w:tcW w:w="1985" w:type="dxa"/>
            <w:tcBorders>
              <w:top w:val="single" w:sz="4" w:space="0" w:color="00000A"/>
              <w:left w:val="single" w:sz="4" w:space="0" w:color="00000A"/>
              <w:bottom w:val="single" w:sz="4" w:space="0" w:color="00000A"/>
              <w:right w:val="single" w:sz="4" w:space="0" w:color="00000A"/>
            </w:tcBorders>
            <w:vAlign w:val="center"/>
          </w:tcPr>
          <w:p w14:paraId="177A5BB9" w14:textId="77777777" w:rsidR="008B221C" w:rsidRPr="00B67BFA" w:rsidRDefault="008B221C">
            <w:pPr>
              <w:ind w:left="132" w:right="132"/>
            </w:pPr>
          </w:p>
        </w:tc>
      </w:tr>
      <w:tr w:rsidR="008B221C" w:rsidRPr="00B67BFA" w14:paraId="752D1705"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1BCFEA5"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81CBFE" w14:textId="435A7C97" w:rsidR="008B221C" w:rsidRPr="00B67BFA" w:rsidRDefault="007E1037">
            <w:pPr>
              <w:jc w:val="both"/>
              <w:rPr>
                <w:rFonts w:eastAsia="Calibri"/>
                <w:kern w:val="0"/>
                <w:lang w:bidi="ar-SA"/>
              </w:rPr>
            </w:pPr>
            <w:r w:rsidRPr="00B67BFA">
              <w:rPr>
                <w:sz w:val="22"/>
              </w:rPr>
              <w:t>Задні</w:t>
            </w:r>
            <w:r w:rsidRPr="00B67BFA">
              <w:rPr>
                <w:spacing w:val="-1"/>
                <w:sz w:val="22"/>
              </w:rPr>
              <w:t xml:space="preserve"> </w:t>
            </w:r>
            <w:r w:rsidRPr="00B67BFA">
              <w:rPr>
                <w:sz w:val="22"/>
              </w:rPr>
              <w:t>опори</w:t>
            </w:r>
            <w:r w:rsidRPr="00B67BFA">
              <w:rPr>
                <w:spacing w:val="-1"/>
                <w:sz w:val="22"/>
              </w:rPr>
              <w:t xml:space="preserve"> - </w:t>
            </w:r>
            <w:r w:rsidRPr="00B67BFA">
              <w:rPr>
                <w:sz w:val="22"/>
              </w:rPr>
              <w:t>2шт.</w:t>
            </w:r>
          </w:p>
        </w:tc>
        <w:tc>
          <w:tcPr>
            <w:tcW w:w="1985" w:type="dxa"/>
            <w:tcBorders>
              <w:top w:val="single" w:sz="4" w:space="0" w:color="00000A"/>
              <w:left w:val="single" w:sz="4" w:space="0" w:color="00000A"/>
              <w:bottom w:val="single" w:sz="4" w:space="0" w:color="00000A"/>
              <w:right w:val="single" w:sz="4" w:space="0" w:color="00000A"/>
            </w:tcBorders>
            <w:vAlign w:val="center"/>
          </w:tcPr>
          <w:p w14:paraId="107BB721" w14:textId="77777777" w:rsidR="008B221C" w:rsidRPr="00B67BFA" w:rsidRDefault="008B221C">
            <w:pPr>
              <w:ind w:left="132" w:right="132"/>
            </w:pPr>
          </w:p>
        </w:tc>
      </w:tr>
      <w:tr w:rsidR="008B221C" w:rsidRPr="00B67BFA" w14:paraId="2171B08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DD91732"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5BC715" w14:textId="5D56932C" w:rsidR="008B221C" w:rsidRPr="00B67BFA" w:rsidRDefault="007E1037">
            <w:pPr>
              <w:jc w:val="both"/>
              <w:rPr>
                <w:rFonts w:eastAsia="Calibri"/>
                <w:kern w:val="0"/>
                <w:lang w:bidi="ar-SA"/>
              </w:rPr>
            </w:pPr>
            <w:r w:rsidRPr="00B67BFA">
              <w:rPr>
                <w:rFonts w:eastAsia="Calibri"/>
                <w:kern w:val="0"/>
                <w:lang w:bidi="ar-SA"/>
              </w:rPr>
              <w:t xml:space="preserve">Диски вантажні </w:t>
            </w:r>
            <w:r w:rsidR="003A4D11" w:rsidRPr="00B67BFA">
              <w:rPr>
                <w:rFonts w:eastAsia="Calibri"/>
                <w:kern w:val="0"/>
                <w:lang w:bidi="ar-SA"/>
              </w:rPr>
              <w:t xml:space="preserve">не менше </w:t>
            </w:r>
            <w:r w:rsidRPr="00B67BFA">
              <w:rPr>
                <w:rFonts w:eastAsia="Calibri"/>
                <w:kern w:val="0"/>
                <w:lang w:bidi="ar-SA"/>
              </w:rPr>
              <w:t>R14С, шини</w:t>
            </w:r>
            <w:r w:rsidR="003A4D11" w:rsidRPr="00B67BFA">
              <w:rPr>
                <w:rFonts w:eastAsia="Calibri"/>
                <w:kern w:val="0"/>
                <w:lang w:bidi="ar-SA"/>
              </w:rPr>
              <w:t xml:space="preserve"> не менше </w:t>
            </w:r>
            <w:r w:rsidRPr="00B67BFA">
              <w:rPr>
                <w:rFonts w:eastAsia="Calibri"/>
                <w:kern w:val="0"/>
                <w:lang w:bidi="ar-SA"/>
              </w:rPr>
              <w:t xml:space="preserve"> 185/80/R14С, запасне колесо</w:t>
            </w:r>
          </w:p>
        </w:tc>
        <w:tc>
          <w:tcPr>
            <w:tcW w:w="1985" w:type="dxa"/>
            <w:tcBorders>
              <w:top w:val="single" w:sz="4" w:space="0" w:color="00000A"/>
              <w:left w:val="single" w:sz="4" w:space="0" w:color="00000A"/>
              <w:bottom w:val="single" w:sz="4" w:space="0" w:color="00000A"/>
              <w:right w:val="single" w:sz="4" w:space="0" w:color="00000A"/>
            </w:tcBorders>
            <w:vAlign w:val="center"/>
          </w:tcPr>
          <w:p w14:paraId="17F15C61" w14:textId="77777777" w:rsidR="008B221C" w:rsidRPr="00B67BFA" w:rsidRDefault="008B221C">
            <w:pPr>
              <w:ind w:left="132" w:right="132"/>
            </w:pPr>
          </w:p>
        </w:tc>
      </w:tr>
      <w:tr w:rsidR="008B221C" w:rsidRPr="00B67BFA" w14:paraId="74B82B79"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18D38B4"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C52430" w14:textId="409A2D36" w:rsidR="008B221C" w:rsidRPr="00B67BFA" w:rsidRDefault="007E1037">
            <w:pPr>
              <w:tabs>
                <w:tab w:val="left" w:pos="1427"/>
              </w:tabs>
              <w:jc w:val="both"/>
              <w:rPr>
                <w:rFonts w:eastAsia="Calibri"/>
                <w:kern w:val="0"/>
                <w:lang w:bidi="ar-SA"/>
              </w:rPr>
            </w:pPr>
            <w:r w:rsidRPr="00B67BFA">
              <w:rPr>
                <w:rFonts w:eastAsia="Calibri"/>
                <w:kern w:val="0"/>
                <w:lang w:bidi="ar-SA"/>
              </w:rPr>
              <w:t>Необхідна світлотехніка згідно вимог безпеки дорожнього руху</w:t>
            </w:r>
          </w:p>
        </w:tc>
        <w:tc>
          <w:tcPr>
            <w:tcW w:w="1985" w:type="dxa"/>
            <w:tcBorders>
              <w:top w:val="single" w:sz="4" w:space="0" w:color="00000A"/>
              <w:left w:val="single" w:sz="4" w:space="0" w:color="00000A"/>
              <w:bottom w:val="single" w:sz="4" w:space="0" w:color="00000A"/>
              <w:right w:val="single" w:sz="4" w:space="0" w:color="00000A"/>
            </w:tcBorders>
            <w:vAlign w:val="center"/>
          </w:tcPr>
          <w:p w14:paraId="430A1443" w14:textId="77777777" w:rsidR="008B221C" w:rsidRPr="00B67BFA" w:rsidRDefault="008B221C">
            <w:pPr>
              <w:tabs>
                <w:tab w:val="left" w:pos="1427"/>
              </w:tabs>
              <w:ind w:left="132" w:right="132"/>
            </w:pPr>
          </w:p>
        </w:tc>
      </w:tr>
    </w:tbl>
    <w:p w14:paraId="53A5CAD6" w14:textId="77777777" w:rsidR="008B221C" w:rsidRPr="00B67BFA" w:rsidRDefault="008B221C" w:rsidP="00C36F42">
      <w:pPr>
        <w:pStyle w:val="Standard"/>
        <w:rPr>
          <w:u w:val="single"/>
          <w:lang w:val="uk-UA"/>
        </w:rPr>
      </w:pPr>
    </w:p>
    <w:p w14:paraId="7A6A7121" w14:textId="3857877E" w:rsidR="00C36F42" w:rsidRPr="00B67BFA" w:rsidRDefault="00113E37" w:rsidP="00113E37">
      <w:pPr>
        <w:pStyle w:val="Standard"/>
        <w:ind w:firstLine="709"/>
        <w:jc w:val="both"/>
        <w:rPr>
          <w:rFonts w:cs="Times New Roman"/>
          <w:lang w:val="uk-UA"/>
        </w:rPr>
      </w:pPr>
      <w:r w:rsidRPr="00B67BFA">
        <w:rPr>
          <w:rFonts w:cs="Times New Roman"/>
          <w:lang w:val="uk-UA"/>
        </w:rPr>
        <w:t>Учасником у складі тендерної пропозиції надається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14:paraId="6082F57C" w14:textId="77777777" w:rsidR="00C36F42" w:rsidRPr="00B67BFA" w:rsidRDefault="00C36F42" w:rsidP="00C36F42">
      <w:pPr>
        <w:ind w:firstLine="709"/>
        <w:jc w:val="both"/>
        <w:rPr>
          <w:rFonts w:cs="Times New Roman"/>
        </w:rPr>
      </w:pPr>
      <w:r w:rsidRPr="00B67BFA">
        <w:rPr>
          <w:rFonts w:cs="Times New Roman"/>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Переобладнані моделі Замовником не розглядаються, лише машини у стандартному </w:t>
      </w:r>
      <w:r w:rsidRPr="00B67BFA">
        <w:rPr>
          <w:rFonts w:cs="Times New Roman"/>
        </w:rPr>
        <w:lastRenderedPageBreak/>
        <w:t xml:space="preserve">заводському виконанні. </w:t>
      </w:r>
    </w:p>
    <w:p w14:paraId="6507F670" w14:textId="443C6D4E" w:rsidR="00C36F42" w:rsidRPr="00B67BFA" w:rsidRDefault="00C36F42" w:rsidP="00663900">
      <w:pPr>
        <w:ind w:firstLine="709"/>
        <w:jc w:val="both"/>
        <w:rPr>
          <w:rFonts w:cs="Times New Roman"/>
          <w:b/>
          <w:bCs/>
        </w:rPr>
      </w:pPr>
      <w:r w:rsidRPr="00B67BFA">
        <w:rPr>
          <w:rFonts w:cs="Times New Roman"/>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7D86223E" w14:textId="77777777" w:rsidR="00C36F42" w:rsidRPr="00B67BFA" w:rsidRDefault="00C36F42" w:rsidP="00C36F42">
      <w:pPr>
        <w:ind w:firstLine="709"/>
        <w:contextualSpacing/>
        <w:jc w:val="both"/>
        <w:rPr>
          <w:rFonts w:cs="Times New Roman"/>
          <w:bCs/>
          <w:iCs/>
        </w:rPr>
      </w:pPr>
      <w:r w:rsidRPr="00B67BFA">
        <w:rPr>
          <w:rFonts w:cs="Times New Roman"/>
          <w:bCs/>
          <w:iCs/>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DC9285" w14:textId="77777777" w:rsidR="00C36F42" w:rsidRPr="00B67BFA" w:rsidRDefault="00C36F42" w:rsidP="00C36F42">
      <w:pPr>
        <w:ind w:firstLine="709"/>
        <w:contextualSpacing/>
        <w:jc w:val="both"/>
        <w:rPr>
          <w:rFonts w:cs="Times New Roman"/>
        </w:rPr>
      </w:pPr>
      <w:r w:rsidRPr="00B67BFA">
        <w:rPr>
          <w:rFonts w:cs="Times New Roman"/>
          <w:bCs/>
          <w:iCs/>
        </w:rPr>
        <w:t>У разі якщо учасник або переможець не повинен складати або подавати відповідний документ, то він не повинен надавати жодні листи або роз’яснення. У разі якщо учасник або переможець повинен складати вказаний в документації документ, то він зобов’язаний скласти та надати його у точній відповідності до вимог Замовника.</w:t>
      </w:r>
    </w:p>
    <w:p w14:paraId="31EDC4AB" w14:textId="77777777" w:rsidR="00C36F42" w:rsidRPr="00B67BFA" w:rsidRDefault="00C36F42" w:rsidP="00C36F42">
      <w:pPr>
        <w:ind w:firstLine="709"/>
        <w:contextualSpacing/>
        <w:jc w:val="both"/>
        <w:rPr>
          <w:rFonts w:cs="Times New Roman"/>
        </w:rPr>
      </w:pPr>
      <w:r w:rsidRPr="00B67BFA">
        <w:rPr>
          <w:rFonts w:cs="Times New Roman"/>
        </w:rPr>
        <w:t xml:space="preserve">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14:paraId="099EB17C" w14:textId="0A501DB8" w:rsidR="00C36F42" w:rsidRPr="00B67BFA" w:rsidRDefault="00C36F42" w:rsidP="00C36F42">
      <w:pPr>
        <w:autoSpaceDE w:val="0"/>
        <w:adjustRightInd w:val="0"/>
        <w:ind w:firstLine="709"/>
        <w:contextualSpacing/>
        <w:jc w:val="both"/>
        <w:rPr>
          <w:rFonts w:cs="Times New Roman"/>
          <w:bCs/>
        </w:rPr>
      </w:pPr>
      <w:r w:rsidRPr="00B67BFA">
        <w:rPr>
          <w:rFonts w:cs="Times New Roman"/>
          <w:bCs/>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3E90C727" w14:textId="0DE05E26" w:rsidR="00E526E6" w:rsidRPr="00B67BFA" w:rsidRDefault="00E526E6" w:rsidP="00C36F42">
      <w:pPr>
        <w:autoSpaceDE w:val="0"/>
        <w:adjustRightInd w:val="0"/>
        <w:ind w:firstLine="709"/>
        <w:contextualSpacing/>
        <w:jc w:val="both"/>
        <w:rPr>
          <w:rFonts w:cs="Times New Roman"/>
          <w:bCs/>
          <w:lang w:eastAsia="uk-UA"/>
        </w:rPr>
      </w:pPr>
      <w:r w:rsidRPr="00B67BFA">
        <w:rPr>
          <w:rFonts w:cs="Times New Roman"/>
          <w:bCs/>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80BA1F6" w14:textId="3ED81BC3" w:rsidR="00C36F42" w:rsidRPr="00B67BFA" w:rsidRDefault="00C36F42" w:rsidP="00C36F42">
      <w:pPr>
        <w:ind w:firstLine="709"/>
        <w:contextualSpacing/>
        <w:jc w:val="both"/>
        <w:rPr>
          <w:rFonts w:cs="Times New Roman"/>
        </w:rPr>
      </w:pPr>
      <w:r w:rsidRPr="00B67BFA">
        <w:rPr>
          <w:rFonts w:cs="Times New Roman"/>
        </w:rPr>
        <w:t xml:space="preserve">При поставці товару учасник-переможець зобов’язаний надати замовнику </w:t>
      </w:r>
      <w:r w:rsidR="00113E37" w:rsidRPr="00B67BFA">
        <w:rPr>
          <w:rFonts w:cs="Times New Roman"/>
          <w:lang w:val="ru-RU"/>
        </w:rPr>
        <w:t>д</w:t>
      </w:r>
      <w:proofErr w:type="spellStart"/>
      <w:r w:rsidR="00113E37" w:rsidRPr="00B67BFA">
        <w:rPr>
          <w:rFonts w:cs="Times New Roman"/>
        </w:rPr>
        <w:t>окументи</w:t>
      </w:r>
      <w:proofErr w:type="spellEnd"/>
      <w:r w:rsidR="00113E37" w:rsidRPr="00B67BFA">
        <w:rPr>
          <w:rFonts w:cs="Times New Roman"/>
        </w:rPr>
        <w:t xml:space="preserve"> для оформлення </w:t>
      </w:r>
      <w:proofErr w:type="spellStart"/>
      <w:r w:rsidR="00113E37" w:rsidRPr="00B67BFA">
        <w:rPr>
          <w:rFonts w:cs="Times New Roman"/>
        </w:rPr>
        <w:t>причіпа</w:t>
      </w:r>
      <w:proofErr w:type="spellEnd"/>
      <w:r w:rsidR="00113E37" w:rsidRPr="00B67BFA">
        <w:rPr>
          <w:rFonts w:cs="Times New Roman"/>
        </w:rPr>
        <w:t xml:space="preserve"> в Сервісному Центрі МВС (транзитний номер, акт приймання- передачі державного зразка, акт огляду та копія сертифікату)</w:t>
      </w:r>
      <w:r w:rsidRPr="00B67BFA">
        <w:rPr>
          <w:rFonts w:cs="Times New Roman"/>
        </w:rPr>
        <w:t xml:space="preserve">. </w:t>
      </w:r>
    </w:p>
    <w:p w14:paraId="6A41F6FE" w14:textId="2342D299" w:rsidR="00C36F42" w:rsidRPr="00B67BFA" w:rsidRDefault="00C36F42" w:rsidP="00C36F42">
      <w:pPr>
        <w:pStyle w:val="Standard"/>
        <w:rPr>
          <w:u w:val="single"/>
          <w:lang w:val="uk-UA"/>
        </w:rPr>
      </w:pPr>
    </w:p>
    <w:p w14:paraId="55960176" w14:textId="6B45C0F6" w:rsidR="000D42CE" w:rsidRPr="000D42CE" w:rsidRDefault="000D42CE" w:rsidP="00113E37">
      <w:pPr>
        <w:pStyle w:val="Standard"/>
        <w:jc w:val="both"/>
        <w:rPr>
          <w:b/>
          <w:lang w:val="uk-UA"/>
        </w:rPr>
      </w:pPr>
      <w:r w:rsidRPr="00B67BFA">
        <w:rPr>
          <w:b/>
          <w:lang w:val="uk-UA"/>
        </w:rPr>
        <w:t>Термін поставки</w:t>
      </w:r>
      <w:r w:rsidR="00663900" w:rsidRPr="00B67BFA">
        <w:rPr>
          <w:b/>
          <w:lang w:val="uk-UA"/>
        </w:rPr>
        <w:t xml:space="preserve"> товару</w:t>
      </w:r>
      <w:r w:rsidRPr="00B67BFA">
        <w:rPr>
          <w:b/>
          <w:lang w:val="uk-UA"/>
        </w:rPr>
        <w:t xml:space="preserve">: </w:t>
      </w:r>
      <w:r w:rsidR="00113E37" w:rsidRPr="00B67BFA">
        <w:rPr>
          <w:b/>
          <w:lang w:val="uk-UA"/>
        </w:rPr>
        <w:t>протягом 20-30</w:t>
      </w:r>
      <w:r w:rsidRPr="00B67BFA">
        <w:rPr>
          <w:b/>
          <w:lang w:val="uk-UA"/>
        </w:rPr>
        <w:t xml:space="preserve"> </w:t>
      </w:r>
      <w:r w:rsidR="00113E37" w:rsidRPr="00B67BFA">
        <w:rPr>
          <w:b/>
          <w:lang w:val="uk-UA"/>
        </w:rPr>
        <w:t>календарних</w:t>
      </w:r>
      <w:r w:rsidR="00555188" w:rsidRPr="00B67BFA">
        <w:rPr>
          <w:b/>
          <w:lang w:val="uk-UA"/>
        </w:rPr>
        <w:t xml:space="preserve"> </w:t>
      </w:r>
      <w:r w:rsidRPr="00B67BFA">
        <w:rPr>
          <w:b/>
          <w:lang w:val="uk-UA"/>
        </w:rPr>
        <w:t>днів з моменту укладання договору</w:t>
      </w:r>
      <w:r w:rsidR="00663900" w:rsidRPr="00B67BFA">
        <w:rPr>
          <w:b/>
          <w:lang w:val="uk-UA"/>
        </w:rPr>
        <w:t xml:space="preserve">, але не пізніше </w:t>
      </w:r>
      <w:r w:rsidR="005C19FA" w:rsidRPr="00B67BFA">
        <w:rPr>
          <w:b/>
          <w:lang w:val="uk-UA"/>
        </w:rPr>
        <w:t>1</w:t>
      </w:r>
      <w:r w:rsidR="00B67BFA" w:rsidRPr="00B67BFA">
        <w:rPr>
          <w:b/>
          <w:lang w:val="uk-UA"/>
        </w:rPr>
        <w:t>5</w:t>
      </w:r>
      <w:r w:rsidR="00663900" w:rsidRPr="00B67BFA">
        <w:rPr>
          <w:b/>
          <w:lang w:val="uk-UA"/>
        </w:rPr>
        <w:t>.</w:t>
      </w:r>
      <w:r w:rsidR="005C19FA" w:rsidRPr="00B67BFA">
        <w:rPr>
          <w:b/>
          <w:lang w:val="uk-UA"/>
        </w:rPr>
        <w:t>05</w:t>
      </w:r>
      <w:r w:rsidR="00663900" w:rsidRPr="00B67BFA">
        <w:rPr>
          <w:b/>
          <w:lang w:val="uk-UA"/>
        </w:rPr>
        <w:t>.2023 року</w:t>
      </w:r>
      <w:r w:rsidRPr="00B67BFA">
        <w:rPr>
          <w:b/>
          <w:lang w:val="uk-UA"/>
        </w:rPr>
        <w:t>.</w:t>
      </w:r>
    </w:p>
    <w:sectPr w:rsidR="000D42CE" w:rsidRPr="000D42C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2560" w14:textId="77777777" w:rsidR="009A71A5" w:rsidRDefault="009A71A5">
      <w:r>
        <w:separator/>
      </w:r>
    </w:p>
  </w:endnote>
  <w:endnote w:type="continuationSeparator" w:id="0">
    <w:p w14:paraId="69BFC216" w14:textId="77777777" w:rsidR="009A71A5" w:rsidRDefault="009A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604E" w14:textId="77777777" w:rsidR="009A71A5" w:rsidRDefault="009A71A5">
      <w:r>
        <w:rPr>
          <w:color w:val="000000"/>
        </w:rPr>
        <w:ptab w:relativeTo="margin" w:alignment="center" w:leader="none"/>
      </w:r>
    </w:p>
  </w:footnote>
  <w:footnote w:type="continuationSeparator" w:id="0">
    <w:p w14:paraId="42C345C0" w14:textId="77777777" w:rsidR="009A71A5" w:rsidRDefault="009A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4"/>
  </w:num>
  <w:num w:numId="2">
    <w:abstractNumId w:val="8"/>
  </w:num>
  <w:num w:numId="3">
    <w:abstractNumId w:val="6"/>
  </w:num>
  <w:num w:numId="4">
    <w:abstractNumId w:val="6"/>
    <w:lvlOverride w:ilvl="0">
      <w:startOverride w:val="1"/>
      <w:lvl w:ilvl="0">
        <w:start w:val="1"/>
        <w:numFmt w:val="decimal"/>
        <w:lvlText w:val="%1."/>
        <w:lvlJc w:val="left"/>
        <w:pPr>
          <w:ind w:left="720" w:hanging="360"/>
        </w:pPr>
      </w:lvl>
    </w:lvlOverride>
  </w:num>
  <w:num w:numId="5">
    <w:abstractNumId w:val="1"/>
  </w:num>
  <w:num w:numId="6">
    <w:abstractNumId w:val="7"/>
  </w:num>
  <w:num w:numId="7">
    <w:abstractNumId w:val="0"/>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8A"/>
    <w:rsid w:val="000143F5"/>
    <w:rsid w:val="00022444"/>
    <w:rsid w:val="00040473"/>
    <w:rsid w:val="00051F34"/>
    <w:rsid w:val="00054495"/>
    <w:rsid w:val="00060E65"/>
    <w:rsid w:val="000A4D1E"/>
    <w:rsid w:val="000C3704"/>
    <w:rsid w:val="000C63CF"/>
    <w:rsid w:val="000D42CE"/>
    <w:rsid w:val="000D6B88"/>
    <w:rsid w:val="00103D3F"/>
    <w:rsid w:val="00113E37"/>
    <w:rsid w:val="00114EB8"/>
    <w:rsid w:val="00144340"/>
    <w:rsid w:val="00154642"/>
    <w:rsid w:val="00186AD5"/>
    <w:rsid w:val="001A601D"/>
    <w:rsid w:val="001C16B3"/>
    <w:rsid w:val="001C57F1"/>
    <w:rsid w:val="002131FA"/>
    <w:rsid w:val="0025745D"/>
    <w:rsid w:val="00277377"/>
    <w:rsid w:val="002842D7"/>
    <w:rsid w:val="002A00AF"/>
    <w:rsid w:val="002B178E"/>
    <w:rsid w:val="002B24CC"/>
    <w:rsid w:val="002C566E"/>
    <w:rsid w:val="002D2553"/>
    <w:rsid w:val="002D4709"/>
    <w:rsid w:val="002F3AEF"/>
    <w:rsid w:val="0030611A"/>
    <w:rsid w:val="00314B46"/>
    <w:rsid w:val="003366C0"/>
    <w:rsid w:val="003644B2"/>
    <w:rsid w:val="00383F00"/>
    <w:rsid w:val="003A4D11"/>
    <w:rsid w:val="003B572B"/>
    <w:rsid w:val="003C380C"/>
    <w:rsid w:val="003C65C0"/>
    <w:rsid w:val="003E2423"/>
    <w:rsid w:val="0042426F"/>
    <w:rsid w:val="00427B8C"/>
    <w:rsid w:val="0043155A"/>
    <w:rsid w:val="004366B2"/>
    <w:rsid w:val="004525DD"/>
    <w:rsid w:val="00470753"/>
    <w:rsid w:val="004734AC"/>
    <w:rsid w:val="004A5F82"/>
    <w:rsid w:val="004B30F8"/>
    <w:rsid w:val="004B3CF6"/>
    <w:rsid w:val="004F54A3"/>
    <w:rsid w:val="004F76AC"/>
    <w:rsid w:val="00503E9C"/>
    <w:rsid w:val="00516941"/>
    <w:rsid w:val="005228DF"/>
    <w:rsid w:val="00526949"/>
    <w:rsid w:val="005518CE"/>
    <w:rsid w:val="00555188"/>
    <w:rsid w:val="00555E73"/>
    <w:rsid w:val="00557BF8"/>
    <w:rsid w:val="00570C32"/>
    <w:rsid w:val="00577090"/>
    <w:rsid w:val="0057797B"/>
    <w:rsid w:val="005C19FA"/>
    <w:rsid w:val="005D0783"/>
    <w:rsid w:val="005D4772"/>
    <w:rsid w:val="005D6168"/>
    <w:rsid w:val="005F5471"/>
    <w:rsid w:val="00604A1E"/>
    <w:rsid w:val="0061510B"/>
    <w:rsid w:val="00627C95"/>
    <w:rsid w:val="0063372C"/>
    <w:rsid w:val="006446FD"/>
    <w:rsid w:val="00655C80"/>
    <w:rsid w:val="00663900"/>
    <w:rsid w:val="006D0FAB"/>
    <w:rsid w:val="006D5976"/>
    <w:rsid w:val="006F79DB"/>
    <w:rsid w:val="00721C6F"/>
    <w:rsid w:val="00722E9D"/>
    <w:rsid w:val="007240E3"/>
    <w:rsid w:val="007342DA"/>
    <w:rsid w:val="007373C5"/>
    <w:rsid w:val="007376ED"/>
    <w:rsid w:val="00750BED"/>
    <w:rsid w:val="00756C4E"/>
    <w:rsid w:val="00790CAE"/>
    <w:rsid w:val="007A4A64"/>
    <w:rsid w:val="007E1037"/>
    <w:rsid w:val="007F60EB"/>
    <w:rsid w:val="00827BAE"/>
    <w:rsid w:val="00831B22"/>
    <w:rsid w:val="00846437"/>
    <w:rsid w:val="00847A62"/>
    <w:rsid w:val="00861E0A"/>
    <w:rsid w:val="00865FD8"/>
    <w:rsid w:val="00873D41"/>
    <w:rsid w:val="00882686"/>
    <w:rsid w:val="008B221C"/>
    <w:rsid w:val="008B3276"/>
    <w:rsid w:val="008C320D"/>
    <w:rsid w:val="008C5FAD"/>
    <w:rsid w:val="008D0CF0"/>
    <w:rsid w:val="008E3065"/>
    <w:rsid w:val="008E770A"/>
    <w:rsid w:val="008F5BB6"/>
    <w:rsid w:val="00901E96"/>
    <w:rsid w:val="00912D5A"/>
    <w:rsid w:val="0098118A"/>
    <w:rsid w:val="009A71A5"/>
    <w:rsid w:val="009B449C"/>
    <w:rsid w:val="009C7EFC"/>
    <w:rsid w:val="009E2CED"/>
    <w:rsid w:val="00A01257"/>
    <w:rsid w:val="00A05D80"/>
    <w:rsid w:val="00A110C6"/>
    <w:rsid w:val="00A233A5"/>
    <w:rsid w:val="00A249EC"/>
    <w:rsid w:val="00A635DD"/>
    <w:rsid w:val="00AA2709"/>
    <w:rsid w:val="00AA2CE9"/>
    <w:rsid w:val="00AC7156"/>
    <w:rsid w:val="00AD3696"/>
    <w:rsid w:val="00AD386B"/>
    <w:rsid w:val="00AD660B"/>
    <w:rsid w:val="00AE6043"/>
    <w:rsid w:val="00AF07BB"/>
    <w:rsid w:val="00AF6AD0"/>
    <w:rsid w:val="00B2404D"/>
    <w:rsid w:val="00B60921"/>
    <w:rsid w:val="00B67BFA"/>
    <w:rsid w:val="00B728AD"/>
    <w:rsid w:val="00B76C7D"/>
    <w:rsid w:val="00B8036D"/>
    <w:rsid w:val="00BA3EB6"/>
    <w:rsid w:val="00BC32A9"/>
    <w:rsid w:val="00BC3617"/>
    <w:rsid w:val="00BE24E0"/>
    <w:rsid w:val="00BF2A57"/>
    <w:rsid w:val="00C037AF"/>
    <w:rsid w:val="00C2176C"/>
    <w:rsid w:val="00C27EA1"/>
    <w:rsid w:val="00C36F42"/>
    <w:rsid w:val="00C55C5C"/>
    <w:rsid w:val="00C609CB"/>
    <w:rsid w:val="00C84286"/>
    <w:rsid w:val="00C94C5F"/>
    <w:rsid w:val="00C950FD"/>
    <w:rsid w:val="00CA47CE"/>
    <w:rsid w:val="00CB3E16"/>
    <w:rsid w:val="00CB4770"/>
    <w:rsid w:val="00CB55BC"/>
    <w:rsid w:val="00CC1D23"/>
    <w:rsid w:val="00CD6F35"/>
    <w:rsid w:val="00CE7AD6"/>
    <w:rsid w:val="00CF2F06"/>
    <w:rsid w:val="00D0195E"/>
    <w:rsid w:val="00D01BCE"/>
    <w:rsid w:val="00D046C7"/>
    <w:rsid w:val="00D27083"/>
    <w:rsid w:val="00D32F38"/>
    <w:rsid w:val="00D41CC3"/>
    <w:rsid w:val="00D70035"/>
    <w:rsid w:val="00D83370"/>
    <w:rsid w:val="00DC32F1"/>
    <w:rsid w:val="00DD0B53"/>
    <w:rsid w:val="00DD16F3"/>
    <w:rsid w:val="00E00ED0"/>
    <w:rsid w:val="00E47DC8"/>
    <w:rsid w:val="00E526E6"/>
    <w:rsid w:val="00E54ED3"/>
    <w:rsid w:val="00E729AF"/>
    <w:rsid w:val="00E83724"/>
    <w:rsid w:val="00E85955"/>
    <w:rsid w:val="00EE44BE"/>
    <w:rsid w:val="00F42BE4"/>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15:docId w15:val="{0490D695-AE15-46DD-AA44-88931A8B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8B221C"/>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D756-CA00-423C-9B08-06B79C78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Пользователь</cp:lastModifiedBy>
  <cp:revision>12</cp:revision>
  <cp:lastPrinted>2023-03-21T11:51:00Z</cp:lastPrinted>
  <dcterms:created xsi:type="dcterms:W3CDTF">2022-12-23T11:53:00Z</dcterms:created>
  <dcterms:modified xsi:type="dcterms:W3CDTF">2023-03-23T10:27:00Z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