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24511C">
                    <w:rPr>
                      <w:rFonts w:ascii="Times New Roman" w:hAnsi="Times New Roman"/>
                      <w:b/>
                      <w:bCs/>
                      <w:noProof/>
                      <w:sz w:val="28"/>
                    </w:rPr>
                    <w:t>7</w:t>
                  </w:r>
                  <w:r w:rsidR="00F94C03">
                    <w:rPr>
                      <w:rFonts w:ascii="Times New Roman" w:hAnsi="Times New Roman"/>
                      <w:b/>
                      <w:bCs/>
                      <w:noProof/>
                      <w:sz w:val="28"/>
                    </w:rPr>
                    <w:t xml:space="preserve"> </w:t>
                  </w:r>
                  <w:r w:rsidRPr="00C110FB">
                    <w:rPr>
                      <w:rFonts w:ascii="Times New Roman" w:hAnsi="Times New Roman"/>
                      <w:b/>
                      <w:bCs/>
                      <w:noProof/>
                      <w:sz w:val="28"/>
                    </w:rPr>
                    <w:t>від «</w:t>
                  </w:r>
                  <w:r w:rsidR="00C90DF6">
                    <w:rPr>
                      <w:rFonts w:ascii="Times New Roman" w:hAnsi="Times New Roman"/>
                      <w:b/>
                      <w:bCs/>
                      <w:noProof/>
                      <w:sz w:val="28"/>
                    </w:rPr>
                    <w:t>19</w:t>
                  </w:r>
                  <w:r w:rsidRPr="00C110FB">
                    <w:rPr>
                      <w:rFonts w:ascii="Times New Roman" w:hAnsi="Times New Roman"/>
                      <w:b/>
                      <w:bCs/>
                      <w:noProof/>
                      <w:sz w:val="28"/>
                    </w:rPr>
                    <w:t xml:space="preserve">»  </w:t>
                  </w:r>
                  <w:r w:rsidR="00C90DF6">
                    <w:rPr>
                      <w:rFonts w:ascii="Times New Roman" w:hAnsi="Times New Roman"/>
                      <w:b/>
                      <w:bCs/>
                      <w:noProof/>
                      <w:sz w:val="28"/>
                    </w:rPr>
                    <w:t>січня</w:t>
                  </w:r>
                  <w:r w:rsidRPr="00C110FB">
                    <w:rPr>
                      <w:rFonts w:ascii="Times New Roman" w:hAnsi="Times New Roman"/>
                      <w:b/>
                      <w:bCs/>
                      <w:noProof/>
                      <w:sz w:val="28"/>
                    </w:rPr>
                    <w:t xml:space="preserve">  2022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FC2523" w:rsidRPr="00FC2523" w:rsidRDefault="00FC2523" w:rsidP="00FC2523">
      <w:pPr>
        <w:suppressAutoHyphens/>
        <w:autoSpaceDE w:val="0"/>
        <w:jc w:val="center"/>
        <w:rPr>
          <w:rFonts w:ascii="Times New Roman" w:hAnsi="Times New Roman"/>
          <w:b/>
          <w:lang w:val="ru-RU" w:bidi="en-US"/>
        </w:rPr>
      </w:pPr>
    </w:p>
    <w:p w:rsidR="0024511C" w:rsidRPr="0024511C" w:rsidRDefault="00FC2523" w:rsidP="0024511C">
      <w:pPr>
        <w:pStyle w:val="1"/>
        <w:keepNext w:val="0"/>
        <w:shd w:val="clear" w:color="auto" w:fill="FFFFFF"/>
        <w:spacing w:before="0" w:after="150"/>
        <w:ind w:left="720"/>
        <w:jc w:val="center"/>
        <w:textAlignment w:val="baseline"/>
        <w:rPr>
          <w:rFonts w:ascii="Times New Roman" w:hAnsi="Times New Roman"/>
          <w:i/>
          <w:color w:val="000000"/>
          <w:sz w:val="28"/>
          <w:szCs w:val="28"/>
          <w:lang w:val="ru-RU"/>
        </w:rPr>
      </w:pPr>
      <w:r w:rsidRPr="00FC2523">
        <w:rPr>
          <w:rFonts w:ascii="Times New Roman" w:hAnsi="Times New Roman"/>
          <w:lang w:val="ru-RU" w:bidi="en-US"/>
        </w:rPr>
        <w:t xml:space="preserve">«Код згідно ДК 021:2015 «Єдиний закупівельний словник» - </w:t>
      </w:r>
      <w:r w:rsidR="0024511C" w:rsidRPr="0024511C">
        <w:rPr>
          <w:rFonts w:ascii="Times New Roman" w:hAnsi="Times New Roman"/>
          <w:i/>
          <w:color w:val="000000"/>
          <w:sz w:val="28"/>
          <w:szCs w:val="28"/>
          <w:lang w:val="ru-RU"/>
        </w:rPr>
        <w:t xml:space="preserve">15550000-8 </w:t>
      </w:r>
      <w:r w:rsidR="0024511C">
        <w:rPr>
          <w:rFonts w:ascii="Times New Roman" w:hAnsi="Times New Roman"/>
          <w:i/>
          <w:color w:val="000000"/>
          <w:sz w:val="28"/>
          <w:szCs w:val="28"/>
          <w:lang w:val="uk-UA"/>
        </w:rPr>
        <w:t>Молочні продукти різні</w:t>
      </w:r>
      <w:r w:rsidR="0024511C" w:rsidRPr="0024511C">
        <w:rPr>
          <w:rFonts w:ascii="Times New Roman" w:hAnsi="Times New Roman"/>
          <w:i/>
          <w:color w:val="000000"/>
          <w:sz w:val="28"/>
          <w:szCs w:val="28"/>
          <w:lang w:val="ru-RU"/>
        </w:rPr>
        <w:t xml:space="preserve">  </w:t>
      </w:r>
    </w:p>
    <w:p w:rsidR="0024511C" w:rsidRPr="0024511C" w:rsidRDefault="0024511C" w:rsidP="0024511C">
      <w:pPr>
        <w:jc w:val="center"/>
        <w:rPr>
          <w:rFonts w:ascii="Times New Roman" w:hAnsi="Times New Roman"/>
          <w:b/>
          <w:noProof/>
          <w:sz w:val="28"/>
          <w:szCs w:val="28"/>
          <w:lang w:val="ru-RU"/>
        </w:rPr>
      </w:pPr>
      <w:r w:rsidRPr="0024511C">
        <w:rPr>
          <w:rFonts w:ascii="Times New Roman" w:hAnsi="Times New Roman"/>
          <w:b/>
          <w:sz w:val="28"/>
          <w:szCs w:val="28"/>
          <w:lang w:val="ru-RU"/>
        </w:rPr>
        <w:t>(сметана 15%, кефір 2,5%)</w:t>
      </w:r>
    </w:p>
    <w:p w:rsidR="0034640C" w:rsidRDefault="0034640C" w:rsidP="0024511C">
      <w:pPr>
        <w:pStyle w:val="1"/>
        <w:keepNext w:val="0"/>
        <w:shd w:val="clear" w:color="auto" w:fill="FFFFFF"/>
        <w:spacing w:before="0" w:after="150"/>
        <w:ind w:left="720"/>
        <w:jc w:val="center"/>
        <w:textAlignment w:val="baseline"/>
        <w:rPr>
          <w:rFonts w:ascii="Times New Roman" w:hAnsi="Times New Roman"/>
          <w:noProof/>
          <w:sz w:val="28"/>
          <w:szCs w:val="28"/>
          <w:lang w:val="ru-RU"/>
        </w:rPr>
      </w:pPr>
      <w:r w:rsidRPr="005B6C10">
        <w:rPr>
          <w:rFonts w:ascii="Times New Roman" w:hAnsi="Times New Roman"/>
          <w:noProof/>
          <w:sz w:val="28"/>
          <w:szCs w:val="28"/>
          <w:lang w:val="ru-RU"/>
        </w:rPr>
        <w:t xml:space="preserve">   </w:t>
      </w:r>
    </w:p>
    <w:p w:rsidR="00FC2523" w:rsidRDefault="00FC2523" w:rsidP="0034640C">
      <w:pPr>
        <w:widowControl w:val="0"/>
        <w:suppressAutoHyphens/>
        <w:autoSpaceDE w:val="0"/>
        <w:jc w:val="center"/>
        <w:rPr>
          <w:rFonts w:ascii="Liberation Serif" w:hAnsi="Liberation Serif"/>
          <w:b/>
          <w:bCs/>
          <w:iCs/>
          <w:color w:val="00000A"/>
          <w:kern w:val="2"/>
          <w:sz w:val="40"/>
          <w:szCs w:val="40"/>
          <w:lang w:val="ru-RU" w:eastAsia="zh-CN" w:bidi="hi-IN"/>
        </w:rPr>
      </w:pPr>
    </w:p>
    <w:p w:rsidR="007632E8"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FC2523">
        <w:rPr>
          <w:rFonts w:ascii="Liberation Serif" w:hAnsi="Liberation Serif"/>
          <w:b/>
          <w:bCs/>
          <w:iCs/>
          <w:color w:val="00000A"/>
          <w:kern w:val="2"/>
          <w:sz w:val="40"/>
          <w:szCs w:val="40"/>
          <w:lang w:val="ru-RU" w:eastAsia="zh-CN" w:bidi="hi-IN"/>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FC2523" w:rsidRPr="009A17B0"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837A93">
        <w:rPr>
          <w:rFonts w:ascii="Times New Roman" w:hAnsi="Times New Roman"/>
          <w:b/>
          <w:lang w:bidi="en-US"/>
        </w:rPr>
        <w:t>3</w:t>
      </w:r>
      <w:r>
        <w:rPr>
          <w:rFonts w:ascii="Times New Roman" w:hAnsi="Times New Roman"/>
          <w:b/>
          <w:lang w:bidi="en-US"/>
        </w:rPr>
        <w:t xml:space="preserve">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24511C"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E7713B" w:rsidRPr="00854729" w:rsidRDefault="00E7713B" w:rsidP="007B59AD">
            <w:pPr>
              <w:pStyle w:val="LO-normal"/>
              <w:widowControl w:val="0"/>
              <w:spacing w:line="240" w:lineRule="auto"/>
              <w:jc w:val="both"/>
              <w:rPr>
                <w:rFonts w:ascii="Times New Roman" w:hAnsi="Times New Roman" w:cs="Times New Roman"/>
                <w:color w:val="auto"/>
                <w:sz w:val="20"/>
                <w:szCs w:val="20"/>
                <w:lang w:eastAsia="en-US"/>
              </w:rPr>
            </w:pPr>
            <w:r w:rsidRPr="00854729">
              <w:rPr>
                <w:rFonts w:ascii="Times New Roman" w:hAnsi="Times New Roman" w:cs="Times New Roman"/>
                <w:color w:val="auto"/>
                <w:sz w:val="20"/>
                <w:szCs w:val="20"/>
              </w:rPr>
              <w:t xml:space="preserve">Тендерну документацію розроблено відповідно до вимог Закону України "Про публічні закупівлі" (далі - Закон) та Постанови  </w:t>
            </w:r>
            <w:r w:rsidRPr="00854729">
              <w:rPr>
                <w:rFonts w:ascii="Times New Roman" w:hAnsi="Times New Roman" w:cs="Times New Roman"/>
                <w:color w:val="auto"/>
                <w:sz w:val="20"/>
                <w:szCs w:val="20"/>
                <w:lang w:eastAsia="en-US"/>
              </w:rPr>
              <w:t>Постанови від 12.10.2022 р. №1178 «Про затвердження  особливостей здійснення публічніх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713B" w:rsidRPr="00854729" w:rsidRDefault="00E7713B" w:rsidP="007B59AD">
            <w:pPr>
              <w:widowControl w:val="0"/>
              <w:jc w:val="both"/>
              <w:rPr>
                <w:rFonts w:ascii="Times New Roman" w:hAnsi="Times New Roman"/>
                <w:sz w:val="20"/>
                <w:szCs w:val="20"/>
                <w:lang w:val="ru-RU"/>
              </w:rPr>
            </w:pPr>
            <w:r w:rsidRPr="00854729">
              <w:rPr>
                <w:rFonts w:ascii="Times New Roman" w:hAnsi="Times New Roman"/>
                <w:sz w:val="20"/>
                <w:szCs w:val="20"/>
                <w:lang w:val="ru-RU"/>
              </w:rPr>
              <w:t>Терміни,  які  використовуються в цій документації, вживаються в значенні, наведеному в Законі та Особливостях.</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24511C"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24511C"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E7713B" w:rsidRPr="00854729" w:rsidTr="006B4AB7">
        <w:trPr>
          <w:trHeight w:val="389"/>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E7713B" w:rsidRPr="00FC2523" w:rsidRDefault="00E7713B" w:rsidP="006B4AB7">
            <w:pPr>
              <w:widowControl w:val="0"/>
              <w:jc w:val="both"/>
              <w:rPr>
                <w:rFonts w:ascii="Times New Roman" w:hAnsi="Times New Roman"/>
                <w:sz w:val="20"/>
                <w:szCs w:val="20"/>
                <w:lang w:val="uk-UA"/>
              </w:rPr>
            </w:pPr>
            <w:r w:rsidRPr="00854729">
              <w:rPr>
                <w:rFonts w:ascii="Times New Roman" w:hAnsi="Times New Roman"/>
                <w:sz w:val="20"/>
                <w:szCs w:val="20"/>
              </w:rPr>
              <w:t>відкриті торги</w:t>
            </w:r>
            <w:r w:rsidR="00FC2523">
              <w:rPr>
                <w:rFonts w:ascii="Times New Roman" w:hAnsi="Times New Roman"/>
                <w:sz w:val="20"/>
                <w:szCs w:val="20"/>
                <w:lang w:val="uk-UA"/>
              </w:rPr>
              <w:t xml:space="preserve"> з особливостями </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24511C"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24511C" w:rsidP="0024511C">
            <w:pPr>
              <w:widowControl w:val="0"/>
              <w:ind w:firstLine="318"/>
              <w:rPr>
                <w:rFonts w:ascii="Times New Roman" w:hAnsi="Times New Roman"/>
                <w:sz w:val="20"/>
                <w:szCs w:val="20"/>
                <w:lang w:val="uk-UA"/>
              </w:rPr>
            </w:pPr>
            <w:r w:rsidRPr="0024511C">
              <w:rPr>
                <w:rFonts w:ascii="Times New Roman" w:hAnsi="Times New Roman"/>
                <w:b/>
                <w:sz w:val="20"/>
                <w:szCs w:val="20"/>
                <w:lang w:val="ru-RU"/>
              </w:rPr>
              <w:t>156 250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Сто пятдесять шість</w:t>
            </w:r>
            <w:r w:rsidR="00FC2523">
              <w:rPr>
                <w:rFonts w:ascii="Times New Roman" w:hAnsi="Times New Roman"/>
                <w:sz w:val="20"/>
                <w:szCs w:val="20"/>
                <w:lang w:val="uk-UA"/>
              </w:rPr>
              <w:t xml:space="preserve"> тисяч</w:t>
            </w:r>
            <w:r>
              <w:rPr>
                <w:rFonts w:ascii="Times New Roman" w:hAnsi="Times New Roman"/>
                <w:sz w:val="20"/>
                <w:szCs w:val="20"/>
                <w:lang w:val="uk-UA"/>
              </w:rPr>
              <w:t xml:space="preserve"> двісті пятдесять </w:t>
            </w:r>
            <w:r w:rsidR="00FC2523">
              <w:rPr>
                <w:rFonts w:ascii="Times New Roman" w:hAnsi="Times New Roman"/>
                <w:sz w:val="20"/>
                <w:szCs w:val="20"/>
                <w:lang w:val="uk-UA"/>
              </w:rPr>
              <w:t xml:space="preserve"> грн.00 коп.) </w:t>
            </w:r>
            <w:r w:rsidR="00FC2523" w:rsidRPr="00FC2523">
              <w:rPr>
                <w:rFonts w:ascii="Times New Roman" w:hAnsi="Times New Roman"/>
                <w:b/>
                <w:sz w:val="20"/>
                <w:szCs w:val="20"/>
                <w:lang w:val="uk-UA"/>
              </w:rPr>
              <w:t>з ПДВ</w:t>
            </w:r>
          </w:p>
        </w:tc>
      </w:tr>
      <w:tr w:rsidR="0034640C" w:rsidRPr="0024511C" w:rsidTr="00152E40">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34640C" w:rsidRPr="000A7B57" w:rsidRDefault="0034640C"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34640C" w:rsidRPr="0024511C" w:rsidRDefault="0034640C" w:rsidP="0024511C">
            <w:pPr>
              <w:widowControl w:val="0"/>
              <w:spacing w:before="60" w:after="60"/>
              <w:ind w:right="70"/>
              <w:contextualSpacing/>
              <w:jc w:val="both"/>
              <w:rPr>
                <w:rFonts w:ascii="Times New Roman" w:hAnsi="Times New Roman"/>
                <w:b/>
                <w:bCs/>
                <w:lang w:val="ru-RU"/>
              </w:rPr>
            </w:pPr>
            <w:r w:rsidRPr="0034640C">
              <w:rPr>
                <w:rFonts w:ascii="Times New Roman" w:hAnsi="Times New Roman"/>
                <w:b/>
                <w:color w:val="000000"/>
                <w:lang w:val="ru-RU"/>
              </w:rPr>
              <w:t xml:space="preserve"> </w:t>
            </w:r>
            <w:r w:rsidR="0024511C" w:rsidRPr="0024511C">
              <w:rPr>
                <w:rFonts w:ascii="Times New Roman" w:hAnsi="Times New Roman"/>
                <w:b/>
                <w:bCs/>
                <w:lang w:val="ru-RU"/>
              </w:rPr>
              <w:t xml:space="preserve">ДК 021:2015: код </w:t>
            </w:r>
            <w:r w:rsidR="0024511C" w:rsidRPr="0024511C">
              <w:rPr>
                <w:rFonts w:ascii="Times New Roman" w:hAnsi="Times New Roman"/>
                <w:b/>
                <w:lang w:val="ru-RU"/>
              </w:rPr>
              <w:t>15550000-8 «Молочні продукти різні » (сметана 15%, кефір 2,5%)</w:t>
            </w:r>
          </w:p>
        </w:tc>
      </w:tr>
      <w:tr w:rsidR="0034640C" w:rsidRPr="0024511C"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34640C" w:rsidRPr="0024511C" w:rsidTr="006B4AB7">
        <w:trPr>
          <w:trHeight w:val="8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34640C" w:rsidRPr="000C1896" w:rsidRDefault="0034640C" w:rsidP="00BF6891">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24511C" w:rsidRPr="0024511C" w:rsidRDefault="0034640C" w:rsidP="0024511C">
            <w:pPr>
              <w:widowControl w:val="0"/>
              <w:spacing w:before="60" w:after="60"/>
              <w:ind w:right="70"/>
              <w:contextualSpacing/>
              <w:jc w:val="both"/>
              <w:rPr>
                <w:rFonts w:ascii="Times New Roman" w:hAnsi="Times New Roman"/>
                <w:lang w:val="ru-RU"/>
              </w:rPr>
            </w:pPr>
            <w:r>
              <w:rPr>
                <w:rFonts w:ascii="Times New Roman" w:hAnsi="Times New Roman"/>
                <w:b/>
                <w:color w:val="000000"/>
                <w:lang w:val="ru-RU" w:eastAsia="ru-RU"/>
              </w:rPr>
              <w:t>К</w:t>
            </w:r>
            <w:r w:rsidRPr="000C1896">
              <w:rPr>
                <w:rFonts w:ascii="Times New Roman" w:hAnsi="Times New Roman"/>
                <w:b/>
                <w:color w:val="000000"/>
                <w:lang w:val="ru-RU" w:eastAsia="ru-RU"/>
              </w:rPr>
              <w:t>ількість :</w:t>
            </w:r>
            <w:r>
              <w:rPr>
                <w:rFonts w:ascii="Times New Roman" w:hAnsi="Times New Roman"/>
                <w:b/>
                <w:color w:val="000000"/>
                <w:lang w:val="ru-RU" w:eastAsia="ru-RU"/>
              </w:rPr>
              <w:t xml:space="preserve"> </w:t>
            </w:r>
            <w:r w:rsidRPr="0034640C">
              <w:rPr>
                <w:rFonts w:ascii="Times New Roman" w:hAnsi="Times New Roman"/>
                <w:lang w:val="ru-RU"/>
              </w:rPr>
              <w:t xml:space="preserve"> </w:t>
            </w:r>
            <w:r w:rsidR="0024511C" w:rsidRPr="0024511C">
              <w:rPr>
                <w:rFonts w:ascii="Times New Roman" w:hAnsi="Times New Roman"/>
                <w:lang w:val="ru-RU"/>
              </w:rPr>
              <w:t xml:space="preserve">сметана 15% - </w:t>
            </w:r>
            <w:r w:rsidR="0024511C">
              <w:rPr>
                <w:rFonts w:ascii="Times New Roman" w:hAnsi="Times New Roman"/>
                <w:lang w:val="uk-UA"/>
              </w:rPr>
              <w:t>500</w:t>
            </w:r>
            <w:r w:rsidR="0024511C" w:rsidRPr="0024511C">
              <w:rPr>
                <w:rFonts w:ascii="Times New Roman" w:hAnsi="Times New Roman"/>
                <w:lang w:val="ru-RU"/>
              </w:rPr>
              <w:t>кг.</w:t>
            </w:r>
          </w:p>
          <w:p w:rsidR="0024511C" w:rsidRPr="0024511C" w:rsidRDefault="0024511C" w:rsidP="0024511C">
            <w:pPr>
              <w:widowControl w:val="0"/>
              <w:spacing w:before="60" w:after="60"/>
              <w:ind w:right="70"/>
              <w:contextualSpacing/>
              <w:jc w:val="both"/>
              <w:rPr>
                <w:rFonts w:ascii="Times New Roman" w:hAnsi="Times New Roman"/>
                <w:color w:val="FF0000"/>
                <w:lang w:val="ru-RU"/>
              </w:rPr>
            </w:pPr>
            <w:r w:rsidRPr="0024511C">
              <w:rPr>
                <w:rFonts w:ascii="Times New Roman" w:hAnsi="Times New Roman"/>
                <w:lang w:val="ru-RU"/>
              </w:rPr>
              <w:t xml:space="preserve">                              кефір 2.5% - </w:t>
            </w:r>
            <w:r>
              <w:rPr>
                <w:rFonts w:ascii="Times New Roman" w:hAnsi="Times New Roman"/>
                <w:lang w:val="ru-RU"/>
              </w:rPr>
              <w:t>2500</w:t>
            </w:r>
            <w:r w:rsidRPr="0024511C">
              <w:rPr>
                <w:rFonts w:ascii="Times New Roman" w:hAnsi="Times New Roman"/>
                <w:lang w:val="ru-RU"/>
              </w:rPr>
              <w:t>кг</w:t>
            </w:r>
          </w:p>
          <w:p w:rsidR="0034640C" w:rsidRPr="000C1896" w:rsidRDefault="0034640C" w:rsidP="0034640C">
            <w:pPr>
              <w:jc w:val="both"/>
              <w:rPr>
                <w:rFonts w:ascii="Times New Roman" w:hAnsi="Times New Roman"/>
                <w:b/>
                <w:lang w:val="ru-RU" w:eastAsia="ru-RU"/>
              </w:rPr>
            </w:pPr>
          </w:p>
        </w:tc>
      </w:tr>
      <w:tr w:rsidR="0034640C" w:rsidRPr="0024511C" w:rsidTr="006B4AB7">
        <w:trPr>
          <w:trHeight w:val="63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34640C" w:rsidRPr="000A7B57" w:rsidRDefault="0034640C"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34640C" w:rsidRPr="00AA2C61" w:rsidRDefault="0034640C" w:rsidP="00AA2C61">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роздрібними партіями по заявці покупця.</w:t>
            </w:r>
          </w:p>
          <w:p w:rsidR="0034640C" w:rsidRPr="00854729" w:rsidRDefault="0034640C" w:rsidP="006B4AB7">
            <w:pPr>
              <w:jc w:val="both"/>
              <w:rPr>
                <w:rFonts w:ascii="Times New Roman" w:hAnsi="Times New Roman"/>
                <w:sz w:val="20"/>
                <w:szCs w:val="20"/>
                <w:lang w:val="ru-RU"/>
              </w:rPr>
            </w:pPr>
          </w:p>
        </w:tc>
      </w:tr>
      <w:tr w:rsidR="0034640C" w:rsidRPr="0024511C"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24511C"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валюту, у якій </w:t>
            </w:r>
            <w:r w:rsidRPr="00854729">
              <w:rPr>
                <w:rFonts w:ascii="Times New Roman" w:hAnsi="Times New Roman"/>
                <w:sz w:val="20"/>
                <w:szCs w:val="20"/>
                <w:lang w:val="ru-RU"/>
              </w:rPr>
              <w:lastRenderedPageBreak/>
              <w:t>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Валютою тендерної пропозиції є гривня. У разі якщо учасником </w:t>
            </w:r>
            <w:r w:rsidRPr="00854729">
              <w:rPr>
                <w:rFonts w:ascii="Times New Roman" w:hAnsi="Times New Roman"/>
                <w:sz w:val="20"/>
                <w:szCs w:val="20"/>
                <w:lang w:val="ru-RU"/>
              </w:rPr>
              <w:lastRenderedPageBreak/>
              <w:t xml:space="preserve">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24511C"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24511C"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24511C"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24511C"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1.1. Тендерні пропозиції подаються відповідно до порядку, визначеного статтею 26 Закону, крім положень частини четвертої,шостої та сьомої статті 26 Закону.</w:t>
            </w:r>
          </w:p>
          <w:p w:rsidR="0034640C" w:rsidRPr="00AE60DD" w:rsidRDefault="0034640C" w:rsidP="004B3E9A">
            <w:pPr>
              <w:pStyle w:val="rvps2"/>
              <w:shd w:val="clear" w:color="auto" w:fill="FFFFFF"/>
              <w:spacing w:before="0" w:after="0"/>
              <w:jc w:val="both"/>
              <w:rPr>
                <w:rStyle w:val="apple-converted-space"/>
                <w:sz w:val="20"/>
                <w:szCs w:val="20"/>
                <w:lang w:val="ru-RU"/>
              </w:rPr>
            </w:pPr>
            <w:r w:rsidRPr="00AE60DD">
              <w:rPr>
                <w:rStyle w:val="apple-converted-space"/>
                <w:sz w:val="20"/>
                <w:szCs w:val="20"/>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форми "ТЕНДЕРНА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щодо відповідності учасника вимогам, визначеним у статті 17 Закону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 4;</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(Додаток 5)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Документи, що складаються учасником, повинні бути </w:t>
            </w:r>
            <w:r w:rsidRPr="00AE60DD">
              <w:rPr>
                <w:rStyle w:val="apple-converted-space"/>
                <w:rFonts w:ascii="Times New Roman" w:hAnsi="Times New Roman"/>
                <w:sz w:val="20"/>
                <w:szCs w:val="20"/>
                <w:lang w:val="ru-RU"/>
              </w:rPr>
              <w:lastRenderedPageBreak/>
              <w:t>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4.1. Тендерні пропозиції вважаються дійсними протягом 120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34640C" w:rsidRPr="00854729" w:rsidRDefault="0034640C"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4640C" w:rsidRPr="00854729" w:rsidRDefault="0034640C"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34640C" w:rsidRPr="00AE42C8" w:rsidRDefault="0034640C" w:rsidP="00D819B9">
            <w:pPr>
              <w:pStyle w:val="1c"/>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Style w:val="apple-converted-space"/>
                <w:rFonts w:ascii="Times New Roman" w:hAnsi="Times New Roman"/>
                <w:sz w:val="20"/>
                <w:szCs w:val="20"/>
                <w:lang w:val="uk-UA"/>
              </w:rPr>
            </w:pPr>
            <w:r w:rsidRPr="00AE42C8">
              <w:rPr>
                <w:rStyle w:val="apple-converted-space"/>
                <w:rFonts w:ascii="Times New Roman" w:hAnsi="Times New Roman"/>
                <w:sz w:val="20"/>
                <w:szCs w:val="20"/>
              </w:rPr>
              <w:t xml:space="preserve">5.1. </w:t>
            </w:r>
            <w:r w:rsidRPr="00AE42C8">
              <w:rPr>
                <w:rStyle w:val="apple-converted-space"/>
                <w:rFonts w:ascii="Times New Roman" w:hAnsi="Times New Roman"/>
                <w:sz w:val="20"/>
                <w:szCs w:val="20"/>
                <w:lang w:val="uk-UA"/>
              </w:rPr>
              <w:t>Для підтвердження відповідності учасника кваліфікаційним критеріям, учасник повинен надати документи згідно переліку в Додатку 2.</w:t>
            </w:r>
          </w:p>
          <w:p w:rsidR="0034640C" w:rsidRPr="00AE42C8" w:rsidRDefault="0034640C" w:rsidP="00D819B9">
            <w:pPr>
              <w:pStyle w:val="1c"/>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Style w:val="apple-converted-space"/>
                <w:rFonts w:ascii="Times New Roman" w:hAnsi="Times New Roman"/>
                <w:sz w:val="20"/>
                <w:szCs w:val="20"/>
                <w:lang w:val="uk-UA"/>
              </w:rPr>
            </w:pPr>
            <w:r w:rsidRPr="00AE42C8">
              <w:rPr>
                <w:rStyle w:val="apple-converted-space"/>
                <w:rFonts w:ascii="Times New Roman" w:hAnsi="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AE42C8">
              <w:rPr>
                <w:rStyle w:val="apple-converted-space"/>
                <w:sz w:val="20"/>
                <w:szCs w:val="20"/>
                <w:lang w:val="ru-RU"/>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 xml:space="preserve">5.4.  Учасник процедури закупівлі підтверджує відсутність підстав, визначених частиною першою статті 17 Закону (крім пункту 13 частини першої статті 17 Закону) та частиною другою статті 17 Закону, шляхом самостійного декларування відсутності таких підстав в електронній системі закупівель під час подання тендерної пропозиції. Учасник може здійснити декларування відсутності вказаних у цьому пункті підстав шляхом подання у складі тендерної пропозиції довідок (або зведеної довідки, інформації у складі інших документів, що надаються у складі тендерної пропозиції, тощо), складених учасником у довільній формі, зміст яких підтверджує відсутність відповідних підстав для відмови в участі у процедурі закупівлі, що передбачені цим пунктом. 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підстави для відмови в участі у </w:t>
            </w:r>
            <w:r w:rsidRPr="00AE42C8">
              <w:rPr>
                <w:rStyle w:val="apple-converted-space"/>
                <w:sz w:val="20"/>
                <w:szCs w:val="20"/>
                <w:lang w:val="ru-RU"/>
              </w:rPr>
              <w:lastRenderedPageBreak/>
              <w:t>процедурі закупівлі згідно частини другої статті 17 Закону (або будь-якої іншої з підстав, що визначені цим пунктом),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(або зведеної довідки, інформації у складі інших документів, що надаються у складі тендерної пропозиції, тощо), складеної учасником у довільній формі.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у складі тендерної пропозиції по кожному з учасників, які входять до складу об’єднання окремо, у формі та згідно змісту, що передбачені цим пунктом для учасника процедури закупівлі.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34640C" w:rsidRPr="00AE42C8" w:rsidRDefault="0034640C" w:rsidP="002D37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w:t>
            </w:r>
          </w:p>
          <w:p w:rsidR="0034640C" w:rsidRDefault="0034640C" w:rsidP="00AE42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 від 30 березня 2022 року </w:t>
            </w:r>
            <w:r w:rsidRPr="00AE42C8">
              <w:rPr>
                <w:rStyle w:val="apple-converted-space"/>
                <w:sz w:val="20"/>
                <w:szCs w:val="20"/>
              </w:rPr>
              <w:t>N</w:t>
            </w:r>
            <w:r w:rsidRPr="00AE42C8">
              <w:rPr>
                <w:rStyle w:val="apple-converted-space"/>
                <w:sz w:val="20"/>
                <w:szCs w:val="20"/>
                <w:lang w:val="ru-RU"/>
              </w:rPr>
              <w:t xml:space="preserve">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34640C" w:rsidRPr="00AE42C8" w:rsidRDefault="0034640C" w:rsidP="00AE42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довідка, складена учасником у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учасника, згідно абзацу другого частини другої ст. 17 Закону та п. п. 12 п. 5.3. цього розділу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необхідні технічні, якісні та кількісні характеристики предмета закупівлі, у тому числі </w:t>
            </w:r>
            <w:r w:rsidRPr="00854729">
              <w:rPr>
                <w:rFonts w:ascii="Times New Roman" w:hAnsi="Times New Roman"/>
                <w:sz w:val="20"/>
                <w:szCs w:val="20"/>
                <w:lang w:val="ru-RU"/>
              </w:rPr>
              <w:lastRenderedPageBreak/>
              <w:t>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w:t>
            </w:r>
            <w:r w:rsidRPr="00854729">
              <w:rPr>
                <w:rFonts w:ascii="Times New Roman" w:hAnsi="Times New Roman"/>
                <w:sz w:val="20"/>
                <w:szCs w:val="20"/>
                <w:lang w:val="ru-RU"/>
              </w:rPr>
              <w:lastRenderedPageBreak/>
              <w:t>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24511C"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Вимоги викладені в Додатку 4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24511C"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24511C"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27</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01</w:t>
            </w:r>
            <w:r w:rsidRPr="004A714B">
              <w:rPr>
                <w:rFonts w:ascii="Times New Roman" w:hAnsi="Times New Roman"/>
                <w:sz w:val="20"/>
                <w:szCs w:val="20"/>
                <w:highlight w:val="yellow"/>
                <w:lang w:val="ru-RU"/>
              </w:rPr>
              <w:t>.202</w:t>
            </w:r>
            <w:r>
              <w:rPr>
                <w:rFonts w:ascii="Times New Roman" w:hAnsi="Times New Roman"/>
                <w:sz w:val="20"/>
                <w:szCs w:val="20"/>
                <w:highlight w:val="yellow"/>
                <w:lang w:val="ru-RU"/>
              </w:rPr>
              <w:t>3</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tcPr>
          <w:p w:rsidR="0034640C" w:rsidRPr="00AE60DD" w:rsidRDefault="0034640C" w:rsidP="003146AC">
            <w:pPr>
              <w:pStyle w:val="TableParagraph"/>
              <w:spacing w:line="240" w:lineRule="exact"/>
              <w:jc w:val="both"/>
              <w:rPr>
                <w:rStyle w:val="apple-converted-space"/>
                <w:sz w:val="20"/>
                <w:szCs w:val="20"/>
                <w:lang w:val="ru-RU"/>
              </w:rPr>
            </w:pPr>
            <w:r w:rsidRPr="00AE60DD">
              <w:rPr>
                <w:rStyle w:val="apple-converted-space"/>
                <w:sz w:val="20"/>
                <w:szCs w:val="20"/>
                <w:lang w:val="ru-RU"/>
              </w:rPr>
              <w:t xml:space="preserve">1.1. Розгляд та оцінка тендерних пропозицій відбуваються відповідно до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цих особливостей.</w:t>
            </w:r>
          </w:p>
          <w:p w:rsidR="0034640C" w:rsidRPr="00AE60DD" w:rsidRDefault="0034640C" w:rsidP="0012123E">
            <w:pPr>
              <w:pStyle w:val="TableParagraph"/>
              <w:spacing w:before="3" w:line="230" w:lineRule="auto"/>
              <w:ind w:right="86" w:hanging="1"/>
              <w:jc w:val="both"/>
              <w:rPr>
                <w:rStyle w:val="apple-converted-space"/>
                <w:sz w:val="20"/>
                <w:szCs w:val="20"/>
                <w:lang w:val="ru-RU"/>
              </w:rPr>
            </w:pPr>
            <w:r w:rsidRPr="00AE60DD">
              <w:rPr>
                <w:rStyle w:val="apple-converted-space"/>
                <w:sz w:val="20"/>
                <w:szCs w:val="2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4640C" w:rsidRPr="00AE60DD" w:rsidRDefault="0034640C" w:rsidP="0012123E">
            <w:pPr>
              <w:pStyle w:val="TableParagraph"/>
              <w:spacing w:line="230" w:lineRule="auto"/>
              <w:ind w:right="95" w:firstLine="2"/>
              <w:jc w:val="both"/>
              <w:rPr>
                <w:rStyle w:val="apple-converted-space"/>
                <w:sz w:val="20"/>
                <w:szCs w:val="20"/>
                <w:lang w:val="ru-RU"/>
              </w:rPr>
            </w:pPr>
            <w:r w:rsidRPr="00AE60DD">
              <w:rPr>
                <w:rStyle w:val="apple-converted-space"/>
                <w:sz w:val="20"/>
                <w:szCs w:val="20"/>
                <w:lang w:val="ru-RU"/>
              </w:rPr>
              <w:t xml:space="preserve">Замовник розглядає таку тендерну пропозицію відповідно до вимог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Особливостей.</w:t>
            </w:r>
          </w:p>
          <w:p w:rsidR="0034640C" w:rsidRPr="00AE60DD" w:rsidRDefault="0034640C" w:rsidP="0012123E">
            <w:pPr>
              <w:pStyle w:val="TableParagraph"/>
              <w:spacing w:line="230" w:lineRule="auto"/>
              <w:ind w:right="90" w:firstLine="2"/>
              <w:jc w:val="both"/>
              <w:rPr>
                <w:rStyle w:val="apple-converted-space"/>
                <w:sz w:val="20"/>
                <w:szCs w:val="20"/>
                <w:lang w:val="ru-RU"/>
              </w:rPr>
            </w:pPr>
            <w:r w:rsidRPr="00AE60DD">
              <w:rPr>
                <w:rStyle w:val="apple-converted-space"/>
                <w:sz w:val="20"/>
                <w:szCs w:val="20"/>
                <w:lang w:val="ru-RU"/>
              </w:rPr>
              <w:t xml:space="preserve">Ціна тендерної </w:t>
            </w:r>
            <w:r w:rsidRPr="00AA2C61">
              <w:rPr>
                <w:rStyle w:val="apple-converted-space"/>
                <w:sz w:val="20"/>
                <w:szCs w:val="20"/>
              </w:rPr>
              <w:t>npono</w:t>
            </w:r>
            <w:r w:rsidRPr="00AE60DD">
              <w:rPr>
                <w:rStyle w:val="apple-converted-space"/>
                <w:sz w:val="20"/>
                <w:szCs w:val="20"/>
                <w:lang w:val="ru-RU"/>
              </w:rPr>
              <w:t>зиц</w:t>
            </w:r>
            <w:r w:rsidRPr="00AA2C61">
              <w:rPr>
                <w:rStyle w:val="apple-converted-space"/>
                <w:sz w:val="20"/>
                <w:szCs w:val="20"/>
              </w:rPr>
              <w:t>i</w:t>
            </w:r>
            <w:r w:rsidRPr="00AE60DD">
              <w:rPr>
                <w:rStyle w:val="apple-converted-space"/>
                <w:sz w:val="20"/>
                <w:szCs w:val="20"/>
                <w:lang w:val="ru-RU"/>
              </w:rPr>
              <w:t>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640C" w:rsidRPr="00AE60DD" w:rsidRDefault="0034640C" w:rsidP="0012123E">
            <w:pPr>
              <w:pStyle w:val="TableParagraph"/>
              <w:spacing w:line="230" w:lineRule="auto"/>
              <w:ind w:right="75" w:firstLine="9"/>
              <w:jc w:val="both"/>
              <w:rPr>
                <w:rStyle w:val="apple-converted-space"/>
                <w:sz w:val="20"/>
                <w:szCs w:val="20"/>
                <w:lang w:val="ru-RU"/>
              </w:rPr>
            </w:pPr>
            <w:r w:rsidRPr="00AE60DD">
              <w:rPr>
                <w:rStyle w:val="apple-converted-space"/>
                <w:sz w:val="20"/>
                <w:szCs w:val="2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640C" w:rsidRPr="00AE60DD" w:rsidRDefault="0034640C"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1.2. Єдиним критерієм оцінки згідно даної процедури відкритих торгів є ціна (питома вага критерію – 100%). </w:t>
            </w:r>
          </w:p>
          <w:p w:rsidR="0034640C" w:rsidRPr="00AE60DD" w:rsidRDefault="0034640C"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Ціна пропозиції повинна:</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 включати всі витрати на сплату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і усі інші витрати, згідно чинного </w:t>
            </w:r>
            <w:r w:rsidRPr="00AE60DD">
              <w:rPr>
                <w:rStyle w:val="apple-converted-space"/>
                <w:rFonts w:ascii="Times New Roman" w:hAnsi="Times New Roman"/>
                <w:sz w:val="20"/>
                <w:szCs w:val="20"/>
                <w:lang w:val="ru-RU"/>
              </w:rPr>
              <w:lastRenderedPageBreak/>
              <w:t>законодавства України, в тому числі податку на додану вартість (ПДВ), якщо учасник є платником ПДВ;</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бути визначена на момент подання тендерної пропозиції з урахуванням чинного законодавства України без будь-яких посилань, обмежень або застережень;</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не включати витрати на оплату консультаційних послуг та документальне супроводження результатів торгів.</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відповідає за одержання всіх необхідних дозволів, сертифікатів на товар, запропонований на торги, та самостійно несе всі витрати на отримання таких документів.</w:t>
            </w:r>
          </w:p>
          <w:p w:rsidR="0034640C" w:rsidRPr="00AE60DD" w:rsidRDefault="0034640C"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Методика оцінки тендерних пропозицій:</w:t>
            </w:r>
          </w:p>
          <w:p w:rsidR="0034640C" w:rsidRPr="00AE60DD" w:rsidRDefault="0034640C" w:rsidP="006B4AB7">
            <w:pPr>
              <w:shd w:val="clear" w:color="auto" w:fill="FFFFFF"/>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34640C" w:rsidRPr="00AE60DD" w:rsidRDefault="0034640C"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34640C" w:rsidRPr="00AE60DD" w:rsidRDefault="0034640C" w:rsidP="006B4AB7">
            <w:pPr>
              <w:jc w:val="both"/>
              <w:rPr>
                <w:rStyle w:val="apple-converted-space"/>
                <w:rFonts w:ascii="Times New Roman" w:hAnsi="Times New Roman"/>
                <w:sz w:val="20"/>
                <w:szCs w:val="20"/>
                <w:lang w:val="ru-RU"/>
              </w:rPr>
            </w:pPr>
            <w:bookmarkStart w:id="2" w:name="bookmark=id.3dy6vkm" w:colFirst="0" w:colLast="0"/>
            <w:bookmarkEnd w:id="2"/>
            <w:r w:rsidRPr="00AE60DD">
              <w:rPr>
                <w:rStyle w:val="apple-converted-space"/>
                <w:rFonts w:ascii="Times New Roman" w:hAnsi="Times New Roman"/>
                <w:sz w:val="20"/>
                <w:szCs w:val="20"/>
                <w:lang w:val="ru-RU"/>
              </w:rPr>
              <w:t xml:space="preserve">1.5. 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 </w:t>
            </w:r>
          </w:p>
          <w:p w:rsidR="0034640C" w:rsidRPr="00AE60DD" w:rsidRDefault="0034640C" w:rsidP="006B4AB7">
            <w:pPr>
              <w:jc w:val="both"/>
              <w:rPr>
                <w:rStyle w:val="apple-converted-space"/>
                <w:rFonts w:ascii="Times New Roman" w:hAnsi="Times New Roman"/>
                <w:sz w:val="20"/>
                <w:szCs w:val="20"/>
                <w:lang w:val="ru-RU"/>
              </w:rPr>
            </w:pPr>
            <w:bookmarkStart w:id="3" w:name="bookmark=id.4d34og8" w:colFirst="0" w:colLast="0"/>
            <w:bookmarkStart w:id="4" w:name="bookmark=id.1t3h5sf" w:colFirst="0" w:colLast="0"/>
            <w:bookmarkEnd w:id="3"/>
            <w:bookmarkEnd w:id="4"/>
            <w:r w:rsidRPr="00AE60DD">
              <w:rPr>
                <w:rStyle w:val="apple-converted-space"/>
                <w:rFonts w:ascii="Times New Roman" w:hAnsi="Times New Roman"/>
                <w:sz w:val="20"/>
                <w:szCs w:val="20"/>
                <w:lang w:val="ru-RU"/>
              </w:rPr>
              <w:t>1.6. Замовник та учасники не можуть ініціювати будь-які переговори з питань внесення змін до змісту або ціни поданої тендерної пропозиції.</w:t>
            </w:r>
          </w:p>
          <w:p w:rsidR="0034640C" w:rsidRPr="00AE60DD" w:rsidRDefault="0034640C" w:rsidP="006B4AB7">
            <w:pPr>
              <w:jc w:val="both"/>
              <w:rPr>
                <w:rStyle w:val="apple-converted-space"/>
                <w:rFonts w:ascii="Times New Roman" w:hAnsi="Times New Roman"/>
                <w:sz w:val="20"/>
                <w:szCs w:val="20"/>
                <w:lang w:val="ru-RU"/>
              </w:rPr>
            </w:pPr>
            <w:bookmarkStart w:id="5" w:name="bookmark=id.2s8eyo1" w:colFirst="0" w:colLast="0"/>
            <w:bookmarkEnd w:id="5"/>
            <w:r w:rsidRPr="00AE60DD">
              <w:rPr>
                <w:rStyle w:val="apple-converted-space"/>
                <w:rFonts w:ascii="Times New Roman" w:hAnsi="Times New Roman"/>
                <w:sz w:val="20"/>
                <w:szCs w:val="20"/>
                <w:lang w:val="ru-RU"/>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6" w:name="bookmark=id.17dp8vu" w:colFirst="0" w:colLast="0"/>
            <w:bookmarkEnd w:id="6"/>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1.8.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854729">
              <w:rPr>
                <w:rFonts w:ascii="Times New Roman" w:hAnsi="Times New Roman"/>
                <w:sz w:val="20"/>
                <w:szCs w:val="20"/>
                <w:lang w:val="ru-RU"/>
              </w:rPr>
              <w:lastRenderedPageBreak/>
              <w:t>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w:t>
            </w:r>
            <w:r w:rsidRPr="00854729">
              <w:rPr>
                <w:rFonts w:ascii="Times New Roman" w:hAnsi="Times New Roman"/>
                <w:sz w:val="20"/>
                <w:szCs w:val="20"/>
                <w:lang w:val="ru-RU"/>
              </w:rPr>
              <w:lastRenderedPageBreak/>
              <w:t xml:space="preserve">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5)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854729">
              <w:rPr>
                <w:rFonts w:ascii="Times New Roman" w:hAnsi="Times New Roman"/>
                <w:sz w:val="20"/>
                <w:szCs w:val="20"/>
                <w:lang w:val="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bookmarkStart w:id="7" w:name="bookmark=id.3rdcrjn" w:colFirst="0" w:colLast="0"/>
            <w:bookmarkEnd w:id="7"/>
            <w:r w:rsidRPr="00854729">
              <w:rPr>
                <w:rFonts w:ascii="Times New Roman" w:hAnsi="Times New Roman"/>
                <w:sz w:val="20"/>
                <w:szCs w:val="20"/>
                <w:lang w:val="ru-RU"/>
              </w:rPr>
              <w:t>4.1. 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у всіх відношеннях, буде віднесена на ризик учасника та може спричинити відхилення тендерної пропозиції згідно з вимогами тендерної документації  та чинного законодавства у сфері публічних закупівель.</w:t>
            </w:r>
          </w:p>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4.2.Замовник відхиляє тендерну пропозицію із зазначенням аргументації в електронній системі закупівель у разі якщо:</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1)</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 xml:space="preserve">є юридичною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підприємцем)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54729">
              <w:rPr>
                <w:rFonts w:ascii="Times New Roman" w:hAnsi="Times New Roman"/>
                <w:sz w:val="20"/>
                <w:szCs w:val="20"/>
                <w:lang w:val="ru-RU"/>
              </w:rPr>
              <w:t xml:space="preserve">придбаних до набрання чинності постановою Кабінету Міністрів України </w:t>
            </w:r>
            <w:r w:rsidRPr="00854729">
              <w:rPr>
                <w:rFonts w:ascii="Times New Roman" w:hAnsi="Times New Roman"/>
                <w:sz w:val="20"/>
                <w:szCs w:val="20"/>
                <w:lang w:val="ru-RU"/>
              </w:rPr>
              <w:br/>
              <w:t>від 12 жовтня 2022</w:t>
            </w:r>
            <w:r w:rsidRPr="00854729">
              <w:rPr>
                <w:rFonts w:ascii="Times New Roman" w:hAnsi="Times New Roman"/>
                <w:sz w:val="20"/>
                <w:szCs w:val="20"/>
              </w:rPr>
              <w:t> </w:t>
            </w:r>
            <w:r w:rsidRPr="00854729">
              <w:rPr>
                <w:rFonts w:ascii="Times New Roman" w:hAnsi="Times New Roman"/>
                <w:sz w:val="20"/>
                <w:szCs w:val="20"/>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4729">
              <w:rPr>
                <w:rFonts w:ascii="Times New Roman" w:hAnsi="Times New Roman"/>
                <w:sz w:val="20"/>
                <w:szCs w:val="20"/>
                <w:shd w:val="solid" w:color="FFFFFF" w:fill="FFFFFF"/>
                <w:lang w:val="ru-RU"/>
              </w:rPr>
              <w:t>;</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lastRenderedPageBreak/>
              <w:t>2)</w:t>
            </w:r>
            <w:r w:rsidRPr="00854729">
              <w:rPr>
                <w:rFonts w:ascii="Times New Roman" w:hAnsi="Times New Roman"/>
                <w:sz w:val="20"/>
                <w:szCs w:val="20"/>
              </w:rPr>
              <w:t> </w:t>
            </w:r>
            <w:r w:rsidRPr="00854729">
              <w:rPr>
                <w:rFonts w:ascii="Times New Roman" w:hAnsi="Times New Roman"/>
                <w:sz w:val="20"/>
                <w:szCs w:val="20"/>
                <w:lang w:val="ru-RU"/>
              </w:rPr>
              <w:t>тендерна пропозиція:</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умовам технічної специфікації та іншим вимогам щодо предмета закупівлі тендерної документації;</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викладена іншою мовою (мовами), ніж мова (мови), що передбачена тендерною документацією;</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є такою, строк дії якої закінчився;</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є такою, ціна якої перевищує очікувану вартість </w:t>
            </w:r>
            <w:r w:rsidRPr="00854729">
              <w:rPr>
                <w:rFonts w:ascii="Times New Roman" w:hAnsi="Times New Roman"/>
                <w:sz w:val="20"/>
                <w:szCs w:val="2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вимогам, установленим у тендерній документації відповідно до абзацу першого частини третьої статті 22 Закону;</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3)</w:t>
            </w:r>
            <w:r w:rsidRPr="00854729">
              <w:rPr>
                <w:rFonts w:ascii="Times New Roman" w:hAnsi="Times New Roman"/>
                <w:sz w:val="20"/>
                <w:szCs w:val="20"/>
              </w:rPr>
              <w:t> </w:t>
            </w:r>
            <w:r w:rsidRPr="00854729">
              <w:rPr>
                <w:rFonts w:ascii="Times New Roman" w:hAnsi="Times New Roman"/>
                <w:sz w:val="20"/>
                <w:szCs w:val="20"/>
                <w:lang w:val="ru-RU"/>
              </w:rPr>
              <w:t>переможець процедури закупівлі:</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54729">
              <w:rPr>
                <w:rFonts w:ascii="Times New Roman" w:hAnsi="Times New Roman"/>
                <w:sz w:val="20"/>
                <w:szCs w:val="20"/>
                <w:shd w:val="solid" w:color="FFFFFF" w:fill="FFFFFF"/>
                <w:lang w:val="ru-RU"/>
              </w:rPr>
              <w:t>з урахуванням пункту 44 Особливостей</w:t>
            </w:r>
            <w:r w:rsidRPr="00854729">
              <w:rPr>
                <w:rFonts w:ascii="Times New Roman" w:hAnsi="Times New Roman"/>
                <w:sz w:val="20"/>
                <w:szCs w:val="20"/>
                <w:lang w:val="ru-RU"/>
              </w:rPr>
              <w:t>;</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копію ліцензії або документа дозвільного характеру (у разі їх наявності) відповідно до частини другої статті 41 Закону;</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забезпечення виконання договору про закупівлю, якщо таке забезпечення вимагалося замовником;</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4.2.</w:t>
            </w:r>
            <w:r w:rsidRPr="00854729">
              <w:rPr>
                <w:rFonts w:ascii="Times New Roman" w:hAnsi="Times New Roman"/>
                <w:sz w:val="20"/>
                <w:szCs w:val="20"/>
              </w:rPr>
              <w:t> </w:t>
            </w:r>
            <w:r w:rsidRPr="00854729">
              <w:rPr>
                <w:rFonts w:ascii="Times New Roman" w:hAnsi="Times New Roman"/>
                <w:sz w:val="20"/>
                <w:szCs w:val="20"/>
                <w:lang w:val="ru-RU"/>
              </w:rPr>
              <w:t>Замовник може відхилити тендерну пропозицію із зазначенням аргументації в електронній системі закупівель у разі, коли:</w:t>
            </w:r>
          </w:p>
          <w:p w:rsidR="0034640C" w:rsidRPr="00854729" w:rsidRDefault="0034640C" w:rsidP="00457B86">
            <w:pPr>
              <w:tabs>
                <w:tab w:val="left" w:pos="851"/>
                <w:tab w:val="left" w:pos="1440"/>
              </w:tabs>
              <w:jc w:val="both"/>
              <w:rPr>
                <w:rFonts w:ascii="Times New Roman" w:hAnsi="Times New Roman"/>
                <w:sz w:val="20"/>
                <w:szCs w:val="20"/>
                <w:lang w:val="ru-RU"/>
              </w:rPr>
            </w:pPr>
            <w:r w:rsidRPr="00854729">
              <w:rPr>
                <w:rFonts w:ascii="Times New Roman" w:hAnsi="Times New Roman"/>
                <w:sz w:val="20"/>
                <w:szCs w:val="20"/>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2)</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640C" w:rsidRPr="00854729" w:rsidRDefault="0034640C" w:rsidP="00457B86">
            <w:pPr>
              <w:widowControl w:val="0"/>
              <w:jc w:val="both"/>
              <w:rPr>
                <w:rFonts w:ascii="Times New Roman" w:hAnsi="Times New Roman"/>
                <w:sz w:val="20"/>
                <w:szCs w:val="20"/>
                <w:lang w:val="ru-RU"/>
              </w:rPr>
            </w:pPr>
            <w:r w:rsidRPr="00854729">
              <w:rPr>
                <w:rFonts w:ascii="Times New Roman" w:hAnsi="Times New Roman"/>
                <w:sz w:val="20"/>
                <w:szCs w:val="20"/>
                <w:lang w:val="ru-RU"/>
              </w:rPr>
              <w:t>4.3.</w:t>
            </w:r>
            <w:r w:rsidRPr="00854729">
              <w:rPr>
                <w:rFonts w:ascii="Times New Roman" w:hAnsi="Times New Roman"/>
                <w:sz w:val="20"/>
                <w:szCs w:val="20"/>
              </w:rPr>
              <w:t> </w:t>
            </w:r>
            <w:r w:rsidRPr="00854729">
              <w:rPr>
                <w:rFonts w:ascii="Times New Roman" w:hAnsi="Times New Roman"/>
                <w:sz w:val="20"/>
                <w:szCs w:val="20"/>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4640C" w:rsidRPr="0024511C"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8" w:name="bookmark=id.26in1rg" w:colFirst="0" w:colLast="0"/>
            <w:bookmarkEnd w:id="8"/>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 xml:space="preserve">Відкриті торги автоматично відміняються електронною </w:t>
            </w:r>
            <w:r w:rsidRPr="00854729">
              <w:rPr>
                <w:sz w:val="20"/>
                <w:szCs w:val="20"/>
                <w:lang w:val="ru-RU"/>
              </w:rPr>
              <w:lastRenderedPageBreak/>
              <w:t>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24511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24511C"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9" w:name="n75"/>
            <w:bookmarkEnd w:id="9"/>
            <w:r w:rsidRPr="00854729">
              <w:rPr>
                <w:sz w:val="20"/>
                <w:szCs w:val="20"/>
                <w:lang w:val="ru-RU"/>
              </w:rPr>
              <w:t xml:space="preserve">2) погодження зміни ціни за одиницю товару в договорі про </w:t>
            </w:r>
            <w:r w:rsidRPr="00854729">
              <w:rPr>
                <w:sz w:val="20"/>
                <w:szCs w:val="20"/>
                <w:lang w:val="ru-RU"/>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10" w:name="n76"/>
            <w:bookmarkEnd w:id="10"/>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11" w:name="n77"/>
            <w:bookmarkEnd w:id="11"/>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12" w:name="n78"/>
            <w:bookmarkEnd w:id="12"/>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13" w:name="n79"/>
            <w:bookmarkEnd w:id="13"/>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14" w:name="n80"/>
            <w:bookmarkEnd w:id="14"/>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5" w:name="n81"/>
            <w:bookmarkEnd w:id="15"/>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lang w:val="ru-RU"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854729">
              <w:rPr>
                <w:rFonts w:ascii="Times New Roman" w:hAnsi="Times New Roman"/>
                <w:sz w:val="20"/>
                <w:szCs w:val="20"/>
                <w:lang w:val="ru-RU" w:eastAsia="uk-UA"/>
              </w:rPr>
              <w:lastRenderedPageBreak/>
              <w:t xml:space="preserve">приймає рішення про намір укласти договір про закупівлю у порядку та на умовах, визначених статтею </w:t>
            </w:r>
            <w:r w:rsidRPr="00854729">
              <w:rPr>
                <w:rFonts w:ascii="Times New Roman" w:hAnsi="Times New Roman"/>
                <w:sz w:val="20"/>
                <w:szCs w:val="20"/>
                <w:lang w:eastAsia="uk-UA"/>
              </w:rPr>
              <w:t>33 Закону та  пунктом 46 Особливостей.</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«Тендерна пропозиція»)</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 підстави встановлені ст.17 Закону)</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3 до тендерної документації (Перелік документів, які вимагаються  від переможця процедури закупівлі відповідно до статті 17 Закону)</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4 до тендерної документації (Технічне завдання щодо предмету закупівлі)</w:t>
      </w:r>
    </w:p>
    <w:p w:rsidR="00E7713B" w:rsidRPr="00701E7C" w:rsidRDefault="00E7713B">
      <w:pPr>
        <w:numPr>
          <w:ilvl w:val="0"/>
          <w:numId w:val="4"/>
        </w:numPr>
        <w:tabs>
          <w:tab w:val="left" w:pos="855"/>
        </w:tabs>
        <w:spacing w:after="200"/>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5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E5" w:rsidRDefault="001A48E5">
      <w:r>
        <w:separator/>
      </w:r>
    </w:p>
  </w:endnote>
  <w:endnote w:type="continuationSeparator" w:id="1">
    <w:p w:rsidR="001A48E5" w:rsidRDefault="001A4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E5" w:rsidRDefault="001A48E5">
      <w:r>
        <w:separator/>
      </w:r>
    </w:p>
  </w:footnote>
  <w:footnote w:type="continuationSeparator" w:id="1">
    <w:p w:rsidR="001A48E5" w:rsidRDefault="001A4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F429A7">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24511C">
      <w:rPr>
        <w:noProof/>
        <w:sz w:val="21"/>
        <w:szCs w:val="21"/>
      </w:rPr>
      <w:t>4</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C1896"/>
    <w:rsid w:val="000C33DD"/>
    <w:rsid w:val="000E6A2F"/>
    <w:rsid w:val="0012123E"/>
    <w:rsid w:val="0013199A"/>
    <w:rsid w:val="00144A81"/>
    <w:rsid w:val="001522AB"/>
    <w:rsid w:val="001A48E5"/>
    <w:rsid w:val="001A56FD"/>
    <w:rsid w:val="001A664F"/>
    <w:rsid w:val="001B4463"/>
    <w:rsid w:val="001C4147"/>
    <w:rsid w:val="001F0CEF"/>
    <w:rsid w:val="00203775"/>
    <w:rsid w:val="00220DF4"/>
    <w:rsid w:val="0024511C"/>
    <w:rsid w:val="00252019"/>
    <w:rsid w:val="002524FA"/>
    <w:rsid w:val="0027072A"/>
    <w:rsid w:val="00270E5F"/>
    <w:rsid w:val="00281259"/>
    <w:rsid w:val="00284FA8"/>
    <w:rsid w:val="0028610F"/>
    <w:rsid w:val="00290D9B"/>
    <w:rsid w:val="002A14B0"/>
    <w:rsid w:val="002B48C4"/>
    <w:rsid w:val="002C4AAF"/>
    <w:rsid w:val="002D37C1"/>
    <w:rsid w:val="002D37C8"/>
    <w:rsid w:val="002E1717"/>
    <w:rsid w:val="002F44E0"/>
    <w:rsid w:val="003146AC"/>
    <w:rsid w:val="003347E9"/>
    <w:rsid w:val="0034640C"/>
    <w:rsid w:val="0035579D"/>
    <w:rsid w:val="00370268"/>
    <w:rsid w:val="0039655F"/>
    <w:rsid w:val="003E7C59"/>
    <w:rsid w:val="00400300"/>
    <w:rsid w:val="00417824"/>
    <w:rsid w:val="004215D4"/>
    <w:rsid w:val="004221F5"/>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27C59"/>
    <w:rsid w:val="0054095E"/>
    <w:rsid w:val="00541D7A"/>
    <w:rsid w:val="00543878"/>
    <w:rsid w:val="00545F72"/>
    <w:rsid w:val="005479D9"/>
    <w:rsid w:val="00552E0E"/>
    <w:rsid w:val="0058157D"/>
    <w:rsid w:val="005B02B3"/>
    <w:rsid w:val="005B2B9B"/>
    <w:rsid w:val="00640240"/>
    <w:rsid w:val="006910BB"/>
    <w:rsid w:val="006B1C14"/>
    <w:rsid w:val="006B4AB7"/>
    <w:rsid w:val="006B555A"/>
    <w:rsid w:val="006B7ECD"/>
    <w:rsid w:val="006C0FAA"/>
    <w:rsid w:val="006C1A90"/>
    <w:rsid w:val="006E1043"/>
    <w:rsid w:val="00701E7C"/>
    <w:rsid w:val="007112BF"/>
    <w:rsid w:val="00724BEC"/>
    <w:rsid w:val="00730B7C"/>
    <w:rsid w:val="00735B31"/>
    <w:rsid w:val="007446B3"/>
    <w:rsid w:val="007544B7"/>
    <w:rsid w:val="007632E8"/>
    <w:rsid w:val="0076614E"/>
    <w:rsid w:val="007718CA"/>
    <w:rsid w:val="00780DA6"/>
    <w:rsid w:val="00792A9E"/>
    <w:rsid w:val="007A14B6"/>
    <w:rsid w:val="007B3B56"/>
    <w:rsid w:val="007B59AD"/>
    <w:rsid w:val="007B63EF"/>
    <w:rsid w:val="007B7C47"/>
    <w:rsid w:val="007C0B31"/>
    <w:rsid w:val="007C3D39"/>
    <w:rsid w:val="007D0253"/>
    <w:rsid w:val="007F0AE6"/>
    <w:rsid w:val="007F3057"/>
    <w:rsid w:val="00823A42"/>
    <w:rsid w:val="00837660"/>
    <w:rsid w:val="00837A93"/>
    <w:rsid w:val="00854729"/>
    <w:rsid w:val="008560B8"/>
    <w:rsid w:val="00856F93"/>
    <w:rsid w:val="0087163F"/>
    <w:rsid w:val="0089322D"/>
    <w:rsid w:val="00894743"/>
    <w:rsid w:val="008A5F7B"/>
    <w:rsid w:val="008A69E2"/>
    <w:rsid w:val="008C5D2D"/>
    <w:rsid w:val="008C649B"/>
    <w:rsid w:val="008C7A97"/>
    <w:rsid w:val="008E51D0"/>
    <w:rsid w:val="008E787B"/>
    <w:rsid w:val="009508A9"/>
    <w:rsid w:val="00982549"/>
    <w:rsid w:val="0098455B"/>
    <w:rsid w:val="00990F70"/>
    <w:rsid w:val="009938C9"/>
    <w:rsid w:val="009A70F5"/>
    <w:rsid w:val="009B569A"/>
    <w:rsid w:val="009D119C"/>
    <w:rsid w:val="009D1AC8"/>
    <w:rsid w:val="009F2E9D"/>
    <w:rsid w:val="009F7ACC"/>
    <w:rsid w:val="00A12CF2"/>
    <w:rsid w:val="00A14407"/>
    <w:rsid w:val="00A161B2"/>
    <w:rsid w:val="00A2076A"/>
    <w:rsid w:val="00A27641"/>
    <w:rsid w:val="00A53EA6"/>
    <w:rsid w:val="00A55B36"/>
    <w:rsid w:val="00A61F49"/>
    <w:rsid w:val="00A63353"/>
    <w:rsid w:val="00A714CB"/>
    <w:rsid w:val="00AA2C61"/>
    <w:rsid w:val="00AA37EA"/>
    <w:rsid w:val="00AA75C8"/>
    <w:rsid w:val="00AB3558"/>
    <w:rsid w:val="00AE42C8"/>
    <w:rsid w:val="00AE60DD"/>
    <w:rsid w:val="00AE6D7F"/>
    <w:rsid w:val="00AF0157"/>
    <w:rsid w:val="00AF553B"/>
    <w:rsid w:val="00B02409"/>
    <w:rsid w:val="00B027BA"/>
    <w:rsid w:val="00B37C0B"/>
    <w:rsid w:val="00B41F46"/>
    <w:rsid w:val="00B51D35"/>
    <w:rsid w:val="00B65912"/>
    <w:rsid w:val="00B67A3B"/>
    <w:rsid w:val="00B81FD9"/>
    <w:rsid w:val="00B857B1"/>
    <w:rsid w:val="00B903B9"/>
    <w:rsid w:val="00B9211E"/>
    <w:rsid w:val="00B97435"/>
    <w:rsid w:val="00B97DEE"/>
    <w:rsid w:val="00BC78AC"/>
    <w:rsid w:val="00BD7E00"/>
    <w:rsid w:val="00BE71AD"/>
    <w:rsid w:val="00C56202"/>
    <w:rsid w:val="00C669FB"/>
    <w:rsid w:val="00C773FC"/>
    <w:rsid w:val="00C90DF6"/>
    <w:rsid w:val="00CA2E50"/>
    <w:rsid w:val="00CB406F"/>
    <w:rsid w:val="00CC57DD"/>
    <w:rsid w:val="00CD5138"/>
    <w:rsid w:val="00CD6AA9"/>
    <w:rsid w:val="00CF1D89"/>
    <w:rsid w:val="00D41D65"/>
    <w:rsid w:val="00D67F26"/>
    <w:rsid w:val="00D819B9"/>
    <w:rsid w:val="00DA51FD"/>
    <w:rsid w:val="00DC0B1E"/>
    <w:rsid w:val="00DE148F"/>
    <w:rsid w:val="00DE3391"/>
    <w:rsid w:val="00E0388A"/>
    <w:rsid w:val="00E23678"/>
    <w:rsid w:val="00E4479C"/>
    <w:rsid w:val="00E53018"/>
    <w:rsid w:val="00E63826"/>
    <w:rsid w:val="00E6427D"/>
    <w:rsid w:val="00E736F7"/>
    <w:rsid w:val="00E7713B"/>
    <w:rsid w:val="00E9096C"/>
    <w:rsid w:val="00EC1CAF"/>
    <w:rsid w:val="00ED4210"/>
    <w:rsid w:val="00EE51B0"/>
    <w:rsid w:val="00F00A59"/>
    <w:rsid w:val="00F066D4"/>
    <w:rsid w:val="00F20E1F"/>
    <w:rsid w:val="00F30DFC"/>
    <w:rsid w:val="00F3368B"/>
    <w:rsid w:val="00F3528E"/>
    <w:rsid w:val="00F429A7"/>
    <w:rsid w:val="00F64187"/>
    <w:rsid w:val="00F675E0"/>
    <w:rsid w:val="00F70877"/>
    <w:rsid w:val="00F9022E"/>
    <w:rsid w:val="00F94C03"/>
    <w:rsid w:val="00FA3880"/>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uiPriority w:val="99"/>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18</Pages>
  <Words>8719</Words>
  <Characters>49701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122</cp:revision>
  <dcterms:created xsi:type="dcterms:W3CDTF">2017-02-01T12:28:00Z</dcterms:created>
  <dcterms:modified xsi:type="dcterms:W3CDTF">2023-01-19T12:49:00Z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