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9A" w:rsidRPr="00AD0303" w:rsidRDefault="008C329A" w:rsidP="008C329A">
      <w:pPr>
        <w:pStyle w:val="20"/>
        <w:keepNext/>
        <w:keepLines/>
        <w:spacing w:before="0" w:after="0" w:line="240" w:lineRule="auto"/>
        <w:jc w:val="right"/>
        <w:rPr>
          <w:rFonts w:ascii="Times New Roman" w:hAnsi="Times New Roman" w:cs="Times New Roman"/>
          <w:b/>
          <w:bCs/>
          <w:lang w:val="uk-UA" w:eastAsia="uk-UA"/>
        </w:rPr>
      </w:pPr>
      <w:r w:rsidRPr="00AD0303">
        <w:rPr>
          <w:rFonts w:ascii="Times New Roman" w:hAnsi="Times New Roman" w:cs="Times New Roman"/>
          <w:b/>
          <w:bCs/>
          <w:lang w:val="uk-UA" w:eastAsia="uk-UA"/>
        </w:rPr>
        <w:t>ДОДАТОК № 4</w:t>
      </w:r>
    </w:p>
    <w:p w:rsidR="008C329A" w:rsidRPr="00AD0303" w:rsidRDefault="008C329A" w:rsidP="008C329A">
      <w:pPr>
        <w:pStyle w:val="20"/>
        <w:keepNext/>
        <w:keepLines/>
        <w:spacing w:before="0" w:after="0" w:line="240" w:lineRule="auto"/>
        <w:ind w:firstLine="284"/>
        <w:jc w:val="right"/>
        <w:rPr>
          <w:rFonts w:ascii="Times New Roman" w:hAnsi="Times New Roman" w:cs="Times New Roman"/>
          <w:b/>
          <w:bCs/>
          <w:lang w:val="uk-UA" w:eastAsia="uk-UA"/>
        </w:rPr>
      </w:pPr>
      <w:r w:rsidRPr="00AD0303">
        <w:rPr>
          <w:rFonts w:ascii="Times New Roman" w:hAnsi="Times New Roman" w:cs="Times New Roman"/>
          <w:b/>
          <w:bCs/>
          <w:lang w:val="uk-UA" w:eastAsia="uk-UA"/>
        </w:rPr>
        <w:t>до тендерної документації</w:t>
      </w:r>
    </w:p>
    <w:p w:rsidR="008C329A" w:rsidRPr="00AD0303" w:rsidRDefault="008C329A" w:rsidP="008C329A">
      <w:pPr>
        <w:rPr>
          <w:rFonts w:eastAsiaTheme="minorHAnsi"/>
          <w:b/>
          <w:bCs/>
          <w:lang w:val="uk-UA" w:eastAsia="uk-UA"/>
        </w:rPr>
      </w:pPr>
    </w:p>
    <w:p w:rsidR="008C329A" w:rsidRPr="00AD0303" w:rsidRDefault="008C329A" w:rsidP="008C329A">
      <w:pPr>
        <w:jc w:val="center"/>
        <w:rPr>
          <w:b/>
          <w:bCs/>
          <w:lang w:val="uk-UA" w:eastAsia="uk-UA"/>
        </w:rPr>
      </w:pPr>
      <w:r w:rsidRPr="00AD0303">
        <w:rPr>
          <w:b/>
          <w:bCs/>
          <w:lang w:val="uk-UA" w:eastAsia="uk-UA"/>
        </w:rPr>
        <w:t xml:space="preserve">ІНФОРМАЦІЯ ПРО НЕОБХІДНІ ТЕХНІЧНІ, </w:t>
      </w:r>
    </w:p>
    <w:p w:rsidR="008C329A" w:rsidRPr="00AD0303" w:rsidRDefault="008C329A" w:rsidP="008C329A">
      <w:pPr>
        <w:jc w:val="center"/>
        <w:rPr>
          <w:b/>
          <w:bCs/>
          <w:lang w:val="uk-UA" w:eastAsia="uk-UA"/>
        </w:rPr>
      </w:pPr>
      <w:r w:rsidRPr="00AD0303">
        <w:rPr>
          <w:b/>
          <w:bCs/>
          <w:lang w:val="uk-UA" w:eastAsia="uk-UA"/>
        </w:rPr>
        <w:t xml:space="preserve">ЯКІСНІ ТА КІЛЬКІСНІ ХАРАКТЕРИСТИКИ ПРЕДМЕТА ЗАКУПІВЛІ </w:t>
      </w:r>
    </w:p>
    <w:p w:rsidR="008C329A" w:rsidRPr="00AD0303" w:rsidRDefault="008C329A" w:rsidP="008C329A">
      <w:pPr>
        <w:ind w:firstLine="284"/>
        <w:jc w:val="both"/>
        <w:rPr>
          <w:i/>
          <w:sz w:val="20"/>
          <w:szCs w:val="20"/>
          <w:lang w:val="uk-UA"/>
        </w:rPr>
      </w:pPr>
    </w:p>
    <w:p w:rsidR="008C329A" w:rsidRPr="00AD0303" w:rsidRDefault="008C329A" w:rsidP="008C329A">
      <w:pPr>
        <w:ind w:firstLine="284"/>
        <w:jc w:val="center"/>
        <w:rPr>
          <w:b/>
          <w:shd w:val="clear" w:color="auto" w:fill="FFFFFF"/>
          <w:lang w:val="uk-UA"/>
        </w:rPr>
      </w:pPr>
      <w:r w:rsidRPr="00AD0303">
        <w:rPr>
          <w:b/>
          <w:shd w:val="clear" w:color="auto" w:fill="FFFFFF"/>
          <w:lang w:val="uk-UA"/>
        </w:rPr>
        <w:t>ТЕХНІЧНА СПЕЦИФІКАЦІЯ</w:t>
      </w:r>
    </w:p>
    <w:p w:rsidR="008C329A" w:rsidRPr="00AD0303" w:rsidRDefault="008C329A" w:rsidP="008C329A">
      <w:pPr>
        <w:ind w:firstLine="426"/>
        <w:jc w:val="center"/>
        <w:rPr>
          <w:b/>
          <w:sz w:val="20"/>
          <w:shd w:val="clear" w:color="auto" w:fill="FFFFFF"/>
          <w:lang w:val="uk-UA"/>
        </w:rPr>
      </w:pPr>
    </w:p>
    <w:p w:rsidR="008C329A" w:rsidRPr="00AD0303" w:rsidRDefault="008C329A" w:rsidP="008C329A">
      <w:pPr>
        <w:ind w:firstLine="426"/>
        <w:jc w:val="both"/>
        <w:rPr>
          <w:i/>
          <w:sz w:val="16"/>
          <w:szCs w:val="20"/>
          <w:lang w:val="uk-UA"/>
        </w:rPr>
      </w:pPr>
    </w:p>
    <w:p w:rsidR="008C329A" w:rsidRPr="00AD0303" w:rsidRDefault="008C329A" w:rsidP="008C329A">
      <w:pPr>
        <w:tabs>
          <w:tab w:val="left" w:pos="0"/>
        </w:tabs>
        <w:ind w:firstLine="426"/>
        <w:jc w:val="both"/>
        <w:rPr>
          <w:sz w:val="22"/>
          <w:lang w:val="uk-UA"/>
        </w:rPr>
      </w:pPr>
      <w:r w:rsidRPr="00AD0303">
        <w:rPr>
          <w:sz w:val="22"/>
          <w:lang w:val="uk-UA"/>
        </w:rPr>
        <w:t>Кількість закладів по наданню послуг – 74 заклади.</w:t>
      </w:r>
    </w:p>
    <w:p w:rsidR="008C329A" w:rsidRPr="00AD0303" w:rsidRDefault="008C329A" w:rsidP="008C329A">
      <w:pPr>
        <w:ind w:firstLine="426"/>
        <w:jc w:val="both"/>
        <w:rPr>
          <w:sz w:val="22"/>
          <w:lang w:val="uk-UA"/>
        </w:rPr>
      </w:pPr>
      <w:r w:rsidRPr="00AD0303">
        <w:rPr>
          <w:sz w:val="22"/>
          <w:lang w:val="uk-UA"/>
        </w:rPr>
        <w:t>Обслуговування включає забезпечення щомісячного технічного обслуговування пожежної сигналізації та голосового оповіщення про пожежу, які встановлені в навчальних закладах Деснянського району міста Києва та Управлінні освіти  Деснянської районної в місті Києві державної адміністрації, а також спостереження за пожежною автоматикою об’єктів (спостерігання за системами протипожежного захисту).</w:t>
      </w:r>
    </w:p>
    <w:p w:rsidR="008C329A" w:rsidRPr="00AD0303" w:rsidRDefault="008C329A" w:rsidP="008C329A">
      <w:pPr>
        <w:ind w:firstLine="426"/>
        <w:jc w:val="both"/>
        <w:rPr>
          <w:sz w:val="22"/>
          <w:lang w:val="uk-UA"/>
        </w:rPr>
      </w:pPr>
      <w:r w:rsidRPr="00AD0303">
        <w:rPr>
          <w:sz w:val="22"/>
          <w:lang w:val="uk-UA"/>
        </w:rPr>
        <w:t>Перелік послуг з технічного обслуговування системи пожежної сигналізації та голосового оповіщення про пожежу:</w:t>
      </w:r>
    </w:p>
    <w:p w:rsidR="008C329A" w:rsidRPr="00AD0303" w:rsidRDefault="008C329A" w:rsidP="008C329A">
      <w:pPr>
        <w:pStyle w:val="a3"/>
        <w:numPr>
          <w:ilvl w:val="0"/>
          <w:numId w:val="1"/>
        </w:numPr>
        <w:tabs>
          <w:tab w:val="left" w:pos="1134"/>
        </w:tabs>
        <w:ind w:left="0" w:firstLine="426"/>
        <w:contextualSpacing/>
        <w:jc w:val="both"/>
        <w:rPr>
          <w:sz w:val="22"/>
          <w:lang w:val="uk-UA"/>
        </w:rPr>
      </w:pPr>
      <w:r w:rsidRPr="00AD0303">
        <w:rPr>
          <w:sz w:val="22"/>
          <w:lang w:val="uk-UA"/>
        </w:rPr>
        <w:t>Зовнішній огляд складових частин систем (приймально-контрольного пристрою або приладу, цифрового джерела повідомлень, сповіщувачів, оповіщувачів, акустичних систем, блоку комутації, мережевої панелі, шлейфу сигналізації) на предмет відсутності механічних пошкоджень, корозії, бруду, міцності кріплень та ін.</w:t>
      </w:r>
    </w:p>
    <w:p w:rsidR="008C329A" w:rsidRPr="00AD0303" w:rsidRDefault="008C329A" w:rsidP="008C329A">
      <w:pPr>
        <w:pStyle w:val="a3"/>
        <w:numPr>
          <w:ilvl w:val="0"/>
          <w:numId w:val="1"/>
        </w:numPr>
        <w:tabs>
          <w:tab w:val="left" w:pos="1134"/>
        </w:tabs>
        <w:ind w:left="0" w:firstLine="426"/>
        <w:contextualSpacing/>
        <w:jc w:val="both"/>
        <w:rPr>
          <w:sz w:val="22"/>
          <w:lang w:val="uk-UA"/>
        </w:rPr>
      </w:pPr>
      <w:r w:rsidRPr="00AD0303">
        <w:rPr>
          <w:sz w:val="22"/>
          <w:lang w:val="uk-UA"/>
        </w:rPr>
        <w:t>Контроль робочого положення  вимикачів та перемикачів, тумблерів, справність світлових індикаторів, наявність пломб на приймально-контрольному пристрої (приладі);</w:t>
      </w:r>
    </w:p>
    <w:p w:rsidR="008C329A" w:rsidRPr="00AD0303" w:rsidRDefault="008C329A" w:rsidP="008C329A">
      <w:pPr>
        <w:pStyle w:val="a3"/>
        <w:numPr>
          <w:ilvl w:val="0"/>
          <w:numId w:val="1"/>
        </w:numPr>
        <w:tabs>
          <w:tab w:val="left" w:pos="1134"/>
        </w:tabs>
        <w:ind w:left="0" w:firstLine="426"/>
        <w:contextualSpacing/>
        <w:jc w:val="both"/>
        <w:rPr>
          <w:sz w:val="22"/>
          <w:lang w:val="uk-UA"/>
        </w:rPr>
      </w:pPr>
      <w:r w:rsidRPr="00AD0303">
        <w:rPr>
          <w:sz w:val="22"/>
          <w:lang w:val="uk-UA"/>
        </w:rPr>
        <w:t>Контроль основного та резервного джерел живлення та перевірка автоматичного переключення живлення з робочого вводу на резервний.</w:t>
      </w:r>
    </w:p>
    <w:p w:rsidR="008C329A" w:rsidRPr="00AD0303" w:rsidRDefault="008C329A" w:rsidP="008C329A">
      <w:pPr>
        <w:pStyle w:val="a3"/>
        <w:numPr>
          <w:ilvl w:val="0"/>
          <w:numId w:val="1"/>
        </w:numPr>
        <w:tabs>
          <w:tab w:val="left" w:pos="1134"/>
        </w:tabs>
        <w:ind w:left="0" w:firstLine="426"/>
        <w:contextualSpacing/>
        <w:jc w:val="both"/>
        <w:rPr>
          <w:sz w:val="22"/>
          <w:lang w:val="uk-UA"/>
        </w:rPr>
      </w:pPr>
      <w:r w:rsidRPr="00AD0303">
        <w:rPr>
          <w:sz w:val="22"/>
          <w:lang w:val="uk-UA"/>
        </w:rPr>
        <w:t>Перевірка працездатності складових частин систем (приймально-контрольного пристрою або приладу, цифрового джерела повідомлень, сповіщувачів, оповіщувачів, акустичних систем).</w:t>
      </w:r>
    </w:p>
    <w:p w:rsidR="008C329A" w:rsidRPr="00AD0303" w:rsidRDefault="008C329A" w:rsidP="008C329A">
      <w:pPr>
        <w:pStyle w:val="a3"/>
        <w:numPr>
          <w:ilvl w:val="0"/>
          <w:numId w:val="1"/>
        </w:numPr>
        <w:tabs>
          <w:tab w:val="left" w:pos="1134"/>
        </w:tabs>
        <w:ind w:left="0" w:firstLine="426"/>
        <w:contextualSpacing/>
        <w:jc w:val="both"/>
        <w:rPr>
          <w:sz w:val="22"/>
          <w:lang w:val="uk-UA"/>
        </w:rPr>
      </w:pPr>
      <w:r w:rsidRPr="00AD0303">
        <w:rPr>
          <w:sz w:val="22"/>
          <w:lang w:val="uk-UA"/>
        </w:rPr>
        <w:t>Перевірка працездатності систем:</w:t>
      </w:r>
    </w:p>
    <w:p w:rsidR="008C329A" w:rsidRPr="00AD0303" w:rsidRDefault="008C329A" w:rsidP="008C329A">
      <w:pPr>
        <w:pStyle w:val="a3"/>
        <w:numPr>
          <w:ilvl w:val="0"/>
          <w:numId w:val="2"/>
        </w:numPr>
        <w:tabs>
          <w:tab w:val="left" w:pos="1134"/>
        </w:tabs>
        <w:ind w:left="0" w:firstLine="426"/>
        <w:contextualSpacing/>
        <w:jc w:val="both"/>
        <w:rPr>
          <w:sz w:val="22"/>
          <w:lang w:val="uk-UA"/>
        </w:rPr>
      </w:pPr>
      <w:r w:rsidRPr="00AD0303">
        <w:rPr>
          <w:sz w:val="22"/>
          <w:lang w:val="uk-UA"/>
        </w:rPr>
        <w:t>автоматичне вмикання резервного живлення приймально-пропускного пристрою у разі зникнення основного;</w:t>
      </w:r>
    </w:p>
    <w:p w:rsidR="008C329A" w:rsidRPr="00AD0303" w:rsidRDefault="008C329A" w:rsidP="008C329A">
      <w:pPr>
        <w:pStyle w:val="a3"/>
        <w:numPr>
          <w:ilvl w:val="0"/>
          <w:numId w:val="3"/>
        </w:numPr>
        <w:tabs>
          <w:tab w:val="left" w:pos="1134"/>
        </w:tabs>
        <w:ind w:left="0" w:firstLine="426"/>
        <w:contextualSpacing/>
        <w:jc w:val="both"/>
        <w:rPr>
          <w:sz w:val="22"/>
          <w:lang w:val="uk-UA"/>
        </w:rPr>
      </w:pPr>
      <w:r w:rsidRPr="00AD0303">
        <w:rPr>
          <w:sz w:val="22"/>
          <w:lang w:val="uk-UA"/>
        </w:rPr>
        <w:t>працездатність приймально-контрольного пристрою у режимах «Пожежа» та «Несправність» шляхом імітації спрацьовування сповіщувачів та порушень шлейфів сигналізації.</w:t>
      </w:r>
    </w:p>
    <w:p w:rsidR="008C329A" w:rsidRPr="00AD0303" w:rsidRDefault="008C329A" w:rsidP="008C329A">
      <w:pPr>
        <w:pStyle w:val="a3"/>
        <w:numPr>
          <w:ilvl w:val="0"/>
          <w:numId w:val="3"/>
        </w:numPr>
        <w:tabs>
          <w:tab w:val="left" w:pos="1134"/>
        </w:tabs>
        <w:ind w:left="0" w:firstLine="426"/>
        <w:contextualSpacing/>
        <w:jc w:val="both"/>
        <w:rPr>
          <w:sz w:val="22"/>
          <w:lang w:val="uk-UA"/>
        </w:rPr>
      </w:pPr>
      <w:r w:rsidRPr="00AD0303">
        <w:rPr>
          <w:sz w:val="22"/>
          <w:lang w:val="uk-UA"/>
        </w:rPr>
        <w:t>При цьому повинен здійснюватися контроль спрацювання виносних світлових та звукових індикаторів.</w:t>
      </w:r>
    </w:p>
    <w:p w:rsidR="008C329A" w:rsidRPr="00AD0303" w:rsidRDefault="008C329A" w:rsidP="008C329A">
      <w:pPr>
        <w:pStyle w:val="a3"/>
        <w:numPr>
          <w:ilvl w:val="0"/>
          <w:numId w:val="1"/>
        </w:numPr>
        <w:tabs>
          <w:tab w:val="left" w:pos="1134"/>
        </w:tabs>
        <w:ind w:left="0" w:firstLine="426"/>
        <w:contextualSpacing/>
        <w:jc w:val="both"/>
        <w:rPr>
          <w:sz w:val="22"/>
          <w:lang w:val="uk-UA"/>
        </w:rPr>
      </w:pPr>
      <w:r w:rsidRPr="00AD0303">
        <w:rPr>
          <w:sz w:val="22"/>
          <w:lang w:val="uk-UA"/>
        </w:rPr>
        <w:t>Профілактичні заходи:</w:t>
      </w:r>
    </w:p>
    <w:p w:rsidR="008C329A" w:rsidRPr="00AD0303" w:rsidRDefault="008C329A" w:rsidP="008C329A">
      <w:pPr>
        <w:pStyle w:val="a3"/>
        <w:numPr>
          <w:ilvl w:val="0"/>
          <w:numId w:val="3"/>
        </w:numPr>
        <w:ind w:left="0" w:firstLine="426"/>
        <w:contextualSpacing/>
        <w:jc w:val="both"/>
        <w:rPr>
          <w:sz w:val="22"/>
          <w:lang w:val="uk-UA"/>
        </w:rPr>
      </w:pPr>
      <w:r w:rsidRPr="00AD0303">
        <w:rPr>
          <w:sz w:val="22"/>
          <w:lang w:val="uk-UA"/>
        </w:rPr>
        <w:t>очищення зовнішніх поверхонь, технічних засобів від пилу, бруду;</w:t>
      </w:r>
    </w:p>
    <w:p w:rsidR="008C329A" w:rsidRPr="00AD0303" w:rsidRDefault="008C329A" w:rsidP="008C329A">
      <w:pPr>
        <w:pStyle w:val="a3"/>
        <w:numPr>
          <w:ilvl w:val="0"/>
          <w:numId w:val="3"/>
        </w:numPr>
        <w:ind w:left="0" w:firstLine="426"/>
        <w:contextualSpacing/>
        <w:jc w:val="both"/>
        <w:rPr>
          <w:sz w:val="22"/>
          <w:lang w:val="uk-UA"/>
        </w:rPr>
      </w:pPr>
      <w:r w:rsidRPr="00AD0303">
        <w:rPr>
          <w:sz w:val="22"/>
          <w:lang w:val="uk-UA"/>
        </w:rPr>
        <w:t>перевірка справності плавких запобіжників;</w:t>
      </w:r>
    </w:p>
    <w:p w:rsidR="008C329A" w:rsidRPr="00AD0303" w:rsidRDefault="008C329A" w:rsidP="008C329A">
      <w:pPr>
        <w:pStyle w:val="a3"/>
        <w:numPr>
          <w:ilvl w:val="0"/>
          <w:numId w:val="3"/>
        </w:numPr>
        <w:ind w:left="0" w:firstLine="426"/>
        <w:contextualSpacing/>
        <w:jc w:val="both"/>
        <w:rPr>
          <w:sz w:val="22"/>
          <w:lang w:val="uk-UA"/>
        </w:rPr>
      </w:pPr>
      <w:r w:rsidRPr="00AD0303">
        <w:rPr>
          <w:sz w:val="22"/>
          <w:lang w:val="uk-UA"/>
        </w:rPr>
        <w:t xml:space="preserve">перевірка технічного стану внутрішнього монтажу (внутрішніх поверхонь) технічних засобів; </w:t>
      </w:r>
    </w:p>
    <w:p w:rsidR="008C329A" w:rsidRPr="00AD0303" w:rsidRDefault="008C329A" w:rsidP="008C329A">
      <w:pPr>
        <w:pStyle w:val="a3"/>
        <w:numPr>
          <w:ilvl w:val="0"/>
          <w:numId w:val="3"/>
        </w:numPr>
        <w:ind w:left="0" w:firstLine="426"/>
        <w:contextualSpacing/>
        <w:jc w:val="both"/>
        <w:rPr>
          <w:sz w:val="22"/>
          <w:lang w:val="uk-UA"/>
        </w:rPr>
      </w:pPr>
      <w:r w:rsidRPr="00AD0303">
        <w:rPr>
          <w:sz w:val="22"/>
          <w:lang w:val="uk-UA"/>
        </w:rPr>
        <w:t xml:space="preserve">перевірка стану акумуляторних </w:t>
      </w:r>
      <w:proofErr w:type="spellStart"/>
      <w:r w:rsidRPr="00AD0303">
        <w:rPr>
          <w:sz w:val="22"/>
          <w:lang w:val="uk-UA"/>
        </w:rPr>
        <w:t>батарей</w:t>
      </w:r>
      <w:proofErr w:type="spellEnd"/>
      <w:r w:rsidRPr="00AD0303">
        <w:rPr>
          <w:sz w:val="22"/>
          <w:lang w:val="uk-UA"/>
        </w:rPr>
        <w:t xml:space="preserve"> резервних джерел живлення;</w:t>
      </w:r>
    </w:p>
    <w:p w:rsidR="008C329A" w:rsidRPr="00AD0303" w:rsidRDefault="008C329A" w:rsidP="008C329A">
      <w:pPr>
        <w:pStyle w:val="a3"/>
        <w:numPr>
          <w:ilvl w:val="0"/>
          <w:numId w:val="3"/>
        </w:numPr>
        <w:ind w:left="0" w:firstLine="426"/>
        <w:contextualSpacing/>
        <w:jc w:val="both"/>
        <w:rPr>
          <w:sz w:val="22"/>
          <w:lang w:val="uk-UA"/>
        </w:rPr>
      </w:pPr>
      <w:r w:rsidRPr="00AD0303">
        <w:rPr>
          <w:sz w:val="22"/>
          <w:lang w:val="uk-UA"/>
        </w:rPr>
        <w:t>вимірювання електричних параметрів систем, у т. ч. напруги в електромережах основного і резервного джерел живлення, а також у шлейфах.</w:t>
      </w:r>
    </w:p>
    <w:p w:rsidR="008C329A" w:rsidRPr="00AD0303" w:rsidRDefault="008C329A" w:rsidP="008C329A">
      <w:pPr>
        <w:pStyle w:val="a3"/>
        <w:numPr>
          <w:ilvl w:val="0"/>
          <w:numId w:val="1"/>
        </w:numPr>
        <w:tabs>
          <w:tab w:val="left" w:pos="1134"/>
        </w:tabs>
        <w:ind w:left="0" w:firstLine="426"/>
        <w:contextualSpacing/>
        <w:jc w:val="both"/>
        <w:rPr>
          <w:sz w:val="22"/>
          <w:lang w:val="uk-UA"/>
        </w:rPr>
      </w:pPr>
      <w:r w:rsidRPr="00AD0303">
        <w:rPr>
          <w:sz w:val="22"/>
          <w:lang w:val="uk-UA"/>
        </w:rPr>
        <w:t>Відновлення працездатності технічних засобів та усунення пошкоджень і неполадок з використанням матеріалів Виконавця.</w:t>
      </w:r>
    </w:p>
    <w:p w:rsidR="008C329A" w:rsidRPr="00AD0303" w:rsidRDefault="008C329A" w:rsidP="008C329A">
      <w:pPr>
        <w:pStyle w:val="a3"/>
        <w:numPr>
          <w:ilvl w:val="0"/>
          <w:numId w:val="1"/>
        </w:numPr>
        <w:tabs>
          <w:tab w:val="left" w:pos="1134"/>
        </w:tabs>
        <w:ind w:left="0" w:firstLine="426"/>
        <w:contextualSpacing/>
        <w:rPr>
          <w:sz w:val="22"/>
          <w:lang w:val="uk-UA"/>
        </w:rPr>
      </w:pPr>
      <w:r w:rsidRPr="00AD0303">
        <w:rPr>
          <w:sz w:val="22"/>
          <w:lang w:val="uk-UA"/>
        </w:rPr>
        <w:t>Чистки димових пожежних сповіщувачів.</w:t>
      </w:r>
    </w:p>
    <w:p w:rsidR="008C329A" w:rsidRPr="00AD0303" w:rsidRDefault="008C329A" w:rsidP="008C329A">
      <w:pPr>
        <w:pStyle w:val="a3"/>
        <w:numPr>
          <w:ilvl w:val="0"/>
          <w:numId w:val="1"/>
        </w:numPr>
        <w:tabs>
          <w:tab w:val="left" w:pos="1134"/>
        </w:tabs>
        <w:ind w:left="0" w:firstLine="426"/>
        <w:contextualSpacing/>
        <w:rPr>
          <w:sz w:val="22"/>
          <w:lang w:val="uk-UA"/>
        </w:rPr>
      </w:pPr>
      <w:r w:rsidRPr="00AD0303">
        <w:rPr>
          <w:sz w:val="22"/>
          <w:lang w:val="uk-UA"/>
        </w:rPr>
        <w:t>Виконання заміни АКБ та пожежних датчиків-сповіщувачів.</w:t>
      </w:r>
    </w:p>
    <w:p w:rsidR="008C329A" w:rsidRPr="00AD0303" w:rsidRDefault="008C329A" w:rsidP="008C329A">
      <w:pPr>
        <w:pStyle w:val="a3"/>
        <w:numPr>
          <w:ilvl w:val="0"/>
          <w:numId w:val="1"/>
        </w:numPr>
        <w:tabs>
          <w:tab w:val="left" w:pos="1134"/>
        </w:tabs>
        <w:ind w:left="0" w:firstLine="426"/>
        <w:contextualSpacing/>
        <w:rPr>
          <w:sz w:val="22"/>
          <w:lang w:val="uk-UA"/>
        </w:rPr>
      </w:pPr>
      <w:r w:rsidRPr="00AD0303">
        <w:rPr>
          <w:sz w:val="22"/>
          <w:lang w:val="uk-UA"/>
        </w:rPr>
        <w:t xml:space="preserve">Заміна акумуляторних </w:t>
      </w:r>
      <w:proofErr w:type="spellStart"/>
      <w:r w:rsidRPr="00AD0303">
        <w:rPr>
          <w:sz w:val="22"/>
          <w:lang w:val="uk-UA"/>
        </w:rPr>
        <w:t>батарей</w:t>
      </w:r>
      <w:proofErr w:type="spellEnd"/>
      <w:r w:rsidRPr="00AD0303">
        <w:rPr>
          <w:sz w:val="22"/>
          <w:lang w:val="uk-UA"/>
        </w:rPr>
        <w:t>.</w:t>
      </w:r>
    </w:p>
    <w:p w:rsidR="008C329A" w:rsidRPr="00AD0303" w:rsidRDefault="008C329A" w:rsidP="008C329A">
      <w:pPr>
        <w:pStyle w:val="a3"/>
        <w:numPr>
          <w:ilvl w:val="0"/>
          <w:numId w:val="1"/>
        </w:numPr>
        <w:tabs>
          <w:tab w:val="left" w:pos="1134"/>
        </w:tabs>
        <w:ind w:left="0" w:firstLine="426"/>
        <w:contextualSpacing/>
        <w:rPr>
          <w:sz w:val="22"/>
          <w:lang w:val="uk-UA"/>
        </w:rPr>
      </w:pPr>
      <w:r w:rsidRPr="00AD0303">
        <w:rPr>
          <w:sz w:val="22"/>
          <w:lang w:val="uk-UA"/>
        </w:rPr>
        <w:t xml:space="preserve">Заміна світлових </w:t>
      </w:r>
      <w:proofErr w:type="spellStart"/>
      <w:r w:rsidRPr="00AD0303">
        <w:rPr>
          <w:sz w:val="22"/>
          <w:lang w:val="uk-UA"/>
        </w:rPr>
        <w:t>показчичів</w:t>
      </w:r>
      <w:proofErr w:type="spellEnd"/>
      <w:r w:rsidRPr="00AD0303">
        <w:rPr>
          <w:sz w:val="22"/>
          <w:lang w:val="uk-UA"/>
        </w:rPr>
        <w:t xml:space="preserve"> «ВИХІД».</w:t>
      </w:r>
    </w:p>
    <w:p w:rsidR="008C329A" w:rsidRPr="00AD0303" w:rsidRDefault="008C329A" w:rsidP="008C329A">
      <w:pPr>
        <w:pStyle w:val="a3"/>
        <w:numPr>
          <w:ilvl w:val="0"/>
          <w:numId w:val="1"/>
        </w:numPr>
        <w:tabs>
          <w:tab w:val="left" w:pos="1134"/>
        </w:tabs>
        <w:ind w:left="0" w:firstLine="426"/>
        <w:contextualSpacing/>
        <w:rPr>
          <w:sz w:val="22"/>
          <w:lang w:val="uk-UA"/>
        </w:rPr>
      </w:pPr>
      <w:r w:rsidRPr="00AD0303">
        <w:rPr>
          <w:sz w:val="22"/>
          <w:lang w:val="uk-UA"/>
        </w:rPr>
        <w:t>Ремонт комплектів передавання тривожних сповіщень та ППК.</w:t>
      </w:r>
    </w:p>
    <w:p w:rsidR="008C329A" w:rsidRPr="00AD0303" w:rsidRDefault="008C329A" w:rsidP="008C329A">
      <w:pPr>
        <w:ind w:firstLine="426"/>
        <w:jc w:val="both"/>
        <w:rPr>
          <w:sz w:val="22"/>
          <w:lang w:val="uk-UA"/>
        </w:rPr>
      </w:pPr>
      <w:r w:rsidRPr="00AD0303">
        <w:rPr>
          <w:sz w:val="22"/>
          <w:lang w:val="uk-UA"/>
        </w:rPr>
        <w:t>Перелік послуг зі спостереження за пожежною автоматикою об’єктів (спостерігання за системами протипожежного захисту): всі заклади цілодобово повинні бути підключені до пульту централізованого спостереження за пожежною автоматикою об’єктів. У разі надзвичайної ситуації диспетчер зв’язується з пожежною частиною та з відповідними особами Управління освіти Деснянської районної в місті Києві державної адміністрації.</w:t>
      </w:r>
    </w:p>
    <w:p w:rsidR="008C329A" w:rsidRPr="00AD0303" w:rsidRDefault="008C329A" w:rsidP="008C329A">
      <w:pPr>
        <w:ind w:firstLine="426"/>
        <w:jc w:val="both"/>
        <w:rPr>
          <w:sz w:val="22"/>
          <w:lang w:val="uk-UA"/>
        </w:rPr>
      </w:pPr>
      <w:r w:rsidRPr="00AD0303">
        <w:rPr>
          <w:sz w:val="22"/>
          <w:lang w:val="uk-UA"/>
        </w:rPr>
        <w:t xml:space="preserve">Вартість послуг з технічного обслуговування пожежної сигналізації та голосового оповіщення про пожежу включає всі супутні витрати для забезпечення надання якісної послуги, в тому числі придбання необхідних для надання послуг комплектуючих, витратних матеріалів, запчастин та матеріалів (в тому числі світлових </w:t>
      </w:r>
      <w:proofErr w:type="spellStart"/>
      <w:r w:rsidRPr="00AD0303">
        <w:rPr>
          <w:sz w:val="22"/>
          <w:lang w:val="uk-UA"/>
        </w:rPr>
        <w:t>показчичів</w:t>
      </w:r>
      <w:proofErr w:type="spellEnd"/>
      <w:r w:rsidRPr="00AD0303">
        <w:rPr>
          <w:sz w:val="22"/>
          <w:lang w:val="uk-UA"/>
        </w:rPr>
        <w:t xml:space="preserve">, акумуляторних </w:t>
      </w:r>
      <w:proofErr w:type="spellStart"/>
      <w:r w:rsidRPr="00AD0303">
        <w:rPr>
          <w:sz w:val="22"/>
          <w:lang w:val="uk-UA"/>
        </w:rPr>
        <w:t>батарей</w:t>
      </w:r>
      <w:proofErr w:type="spellEnd"/>
      <w:r w:rsidRPr="00AD0303">
        <w:rPr>
          <w:sz w:val="22"/>
          <w:lang w:val="uk-UA"/>
        </w:rPr>
        <w:t>, АКБ та пожежних датчиків-сповіщувачів</w:t>
      </w:r>
      <w:r w:rsidRPr="00AD0303">
        <w:rPr>
          <w:iCs/>
          <w:sz w:val="22"/>
          <w:lang w:val="uk-UA"/>
        </w:rPr>
        <w:t xml:space="preserve"> тощо)</w:t>
      </w:r>
      <w:r w:rsidRPr="00AD0303">
        <w:rPr>
          <w:sz w:val="22"/>
          <w:lang w:val="uk-UA"/>
        </w:rPr>
        <w:t>, а також транспортні та інші послуги, необхідні під час надання послуг.</w:t>
      </w:r>
    </w:p>
    <w:p w:rsidR="008C329A" w:rsidRPr="00AD0303" w:rsidRDefault="008C329A" w:rsidP="008C329A">
      <w:pPr>
        <w:ind w:firstLine="426"/>
        <w:jc w:val="both"/>
        <w:rPr>
          <w:sz w:val="22"/>
          <w:lang w:val="uk-UA"/>
        </w:rPr>
      </w:pPr>
      <w:r w:rsidRPr="00AD0303">
        <w:rPr>
          <w:sz w:val="22"/>
          <w:lang w:val="uk-UA"/>
        </w:rPr>
        <w:t xml:space="preserve">Перелік матеріалів та обладнання, які використовуються при наданні послуг: прилади контрольно-пожежні, Акумулятори 12В, 7А/ч; Акумулятор 12В, 7А/ч; елементи живлення; сповіщувачі: димовий, тепловий, ручний; Кабель вогнетривкий; </w:t>
      </w:r>
      <w:proofErr w:type="spellStart"/>
      <w:r w:rsidRPr="00AD0303">
        <w:rPr>
          <w:sz w:val="22"/>
          <w:lang w:val="uk-UA"/>
        </w:rPr>
        <w:t>показчик</w:t>
      </w:r>
      <w:proofErr w:type="spellEnd"/>
      <w:r w:rsidRPr="00AD0303">
        <w:rPr>
          <w:sz w:val="22"/>
          <w:lang w:val="uk-UA"/>
        </w:rPr>
        <w:t xml:space="preserve"> світловий «Вихід».</w:t>
      </w:r>
    </w:p>
    <w:p w:rsidR="008C329A" w:rsidRPr="00AD0303" w:rsidRDefault="008C329A" w:rsidP="008C329A">
      <w:pPr>
        <w:ind w:firstLine="426"/>
        <w:jc w:val="both"/>
        <w:rPr>
          <w:sz w:val="22"/>
          <w:lang w:val="uk-UA"/>
        </w:rPr>
      </w:pPr>
    </w:p>
    <w:p w:rsidR="008C329A" w:rsidRPr="00AD0303" w:rsidRDefault="008C329A" w:rsidP="008C329A">
      <w:pPr>
        <w:ind w:firstLine="709"/>
        <w:jc w:val="both"/>
        <w:rPr>
          <w:sz w:val="22"/>
          <w:lang w:val="uk-UA" w:eastAsia="ar-SA"/>
        </w:rPr>
      </w:pPr>
      <w:r w:rsidRPr="00AD0303">
        <w:rPr>
          <w:sz w:val="22"/>
          <w:lang w:val="uk-UA" w:eastAsia="ar-SA"/>
        </w:rPr>
        <w:lastRenderedPageBreak/>
        <w:t>Для підтвердження інформації про відповідність запропонованих послуг технічним, якісним характеристикам та іншим вимогам учасник у складі тендерної пропозиції повинен надати наступні документи:</w:t>
      </w:r>
    </w:p>
    <w:p w:rsidR="008C329A" w:rsidRPr="00AD0303" w:rsidRDefault="008C329A" w:rsidP="008C329A">
      <w:pPr>
        <w:pStyle w:val="a3"/>
        <w:numPr>
          <w:ilvl w:val="0"/>
          <w:numId w:val="4"/>
        </w:numPr>
        <w:tabs>
          <w:tab w:val="left" w:pos="993"/>
        </w:tabs>
        <w:ind w:left="0" w:firstLine="709"/>
        <w:jc w:val="both"/>
        <w:rPr>
          <w:sz w:val="22"/>
          <w:lang w:val="uk-UA" w:eastAsia="uk-UA"/>
        </w:rPr>
      </w:pPr>
      <w:bookmarkStart w:id="0" w:name="_Hlk133400288"/>
      <w:r w:rsidRPr="00AD0303">
        <w:rPr>
          <w:sz w:val="22"/>
          <w:szCs w:val="22"/>
          <w:lang w:val="uk-UA"/>
        </w:rPr>
        <w:t xml:space="preserve">Видана </w:t>
      </w:r>
      <w:r w:rsidRPr="00AD0303">
        <w:rPr>
          <w:sz w:val="22"/>
          <w:lang w:val="uk-UA" w:eastAsia="uk-UA"/>
        </w:rPr>
        <w:t>Державною службою з надзвичайних ситуацій України</w:t>
      </w:r>
      <w:r w:rsidRPr="00AD0303">
        <w:rPr>
          <w:sz w:val="22"/>
          <w:szCs w:val="22"/>
          <w:lang w:val="uk-UA"/>
        </w:rPr>
        <w:t xml:space="preserve"> </w:t>
      </w:r>
      <w:r w:rsidRPr="00AD0303">
        <w:rPr>
          <w:sz w:val="22"/>
          <w:lang w:val="uk-UA" w:eastAsia="ar-SA"/>
        </w:rPr>
        <w:t xml:space="preserve">ліцензія </w:t>
      </w:r>
      <w:r w:rsidRPr="00AD0303">
        <w:rPr>
          <w:sz w:val="22"/>
          <w:lang w:val="uk-UA" w:eastAsia="uk-UA"/>
        </w:rPr>
        <w:t xml:space="preserve">на провадження господарської діяльності з надання послуг і виконання робіт протипожежного призначення, а саме: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w:t>
      </w:r>
      <w:proofErr w:type="spellStart"/>
      <w:r w:rsidRPr="00AD0303">
        <w:rPr>
          <w:sz w:val="22"/>
          <w:lang w:val="uk-UA" w:eastAsia="uk-UA"/>
        </w:rPr>
        <w:t>устатковання</w:t>
      </w:r>
      <w:proofErr w:type="spellEnd"/>
      <w:r w:rsidRPr="00AD0303">
        <w:rPr>
          <w:sz w:val="22"/>
          <w:lang w:val="uk-UA" w:eastAsia="uk-UA"/>
        </w:rPr>
        <w:t xml:space="preserve"> для передачі тривожних сповіщень, спостерігання за системами протипожежного захисту. В разі електронної ліцензії учасник надає наказ чи витяг з наказу Державної служби з надзвичайних ситуацій України стосовно видачі ліцензії на провадження господарської діяльності з надання послуг і виконання робіт протипожежного призначення, а саме: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w:t>
      </w:r>
      <w:proofErr w:type="spellStart"/>
      <w:r w:rsidRPr="00AD0303">
        <w:rPr>
          <w:sz w:val="22"/>
          <w:lang w:val="uk-UA" w:eastAsia="uk-UA"/>
        </w:rPr>
        <w:t>устатковання</w:t>
      </w:r>
      <w:proofErr w:type="spellEnd"/>
      <w:r w:rsidRPr="00AD0303">
        <w:rPr>
          <w:sz w:val="22"/>
          <w:lang w:val="uk-UA" w:eastAsia="uk-UA"/>
        </w:rPr>
        <w:t xml:space="preserve"> для передачі тривожних сповіщень, спостерігання за системами протипожежного захисту.</w:t>
      </w:r>
    </w:p>
    <w:bookmarkEnd w:id="0"/>
    <w:p w:rsidR="008C329A" w:rsidRPr="00AD0303" w:rsidRDefault="008C329A" w:rsidP="008C329A">
      <w:pPr>
        <w:pStyle w:val="a3"/>
        <w:numPr>
          <w:ilvl w:val="0"/>
          <w:numId w:val="4"/>
        </w:numPr>
        <w:tabs>
          <w:tab w:val="left" w:pos="993"/>
        </w:tabs>
        <w:ind w:left="0" w:firstLine="709"/>
        <w:jc w:val="both"/>
        <w:rPr>
          <w:sz w:val="22"/>
          <w:lang w:val="uk-UA" w:eastAsia="uk-UA"/>
        </w:rPr>
      </w:pPr>
      <w:r w:rsidRPr="00AD0303">
        <w:rPr>
          <w:iCs/>
          <w:sz w:val="22"/>
          <w:lang w:val="uk-UA"/>
        </w:rPr>
        <w:t>Лист про технічні можливості роботи (комунікації) пульту централізованого спостереження за пожежною автоматикою (</w:t>
      </w:r>
      <w:r w:rsidRPr="00AD0303">
        <w:rPr>
          <w:sz w:val="22"/>
          <w:lang w:val="uk-UA" w:eastAsia="uk-UA"/>
        </w:rPr>
        <w:t>устаткування індикації центрів приймання тривожних сповіщень)</w:t>
      </w:r>
      <w:r w:rsidRPr="00AD0303">
        <w:rPr>
          <w:iCs/>
          <w:sz w:val="22"/>
          <w:lang w:val="uk-UA"/>
        </w:rPr>
        <w:t xml:space="preserve"> учасника з комунікатором МЦА-GSM, який призначений для передачі інформації на ПЦС по GSM каналу</w:t>
      </w:r>
      <w:r w:rsidRPr="00AD0303">
        <w:rPr>
          <w:iCs/>
          <w:sz w:val="22"/>
          <w:lang w:val="ru-RU"/>
        </w:rPr>
        <w:t>.</w:t>
      </w:r>
    </w:p>
    <w:p w:rsidR="008C329A" w:rsidRPr="00AD0303" w:rsidRDefault="008C329A" w:rsidP="008C329A">
      <w:pPr>
        <w:pStyle w:val="a3"/>
        <w:numPr>
          <w:ilvl w:val="0"/>
          <w:numId w:val="4"/>
        </w:numPr>
        <w:tabs>
          <w:tab w:val="left" w:pos="993"/>
        </w:tabs>
        <w:ind w:left="0" w:firstLine="709"/>
        <w:jc w:val="both"/>
        <w:rPr>
          <w:iCs/>
          <w:sz w:val="22"/>
          <w:lang w:val="uk-UA"/>
        </w:rPr>
      </w:pPr>
      <w:r w:rsidRPr="00AD0303">
        <w:rPr>
          <w:iCs/>
          <w:sz w:val="22"/>
          <w:lang w:val="uk-UA"/>
        </w:rPr>
        <w:t xml:space="preserve">Дозвільний документ, виданий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виданий Державною службою гірничого нагляду та промислової безпеки України або Державною службою України з питань праці чи їх територіальними органами дозвіл або зареєстрована у встановленому порядку декларація відповідності матеріально-технічної бази вимогам законодавства з питань охорони праці на </w:t>
      </w:r>
      <w:r w:rsidRPr="00AD0303">
        <w:rPr>
          <w:sz w:val="22"/>
          <w:szCs w:val="22"/>
          <w:lang w:val="uk-UA" w:eastAsia="ru-RU"/>
        </w:rPr>
        <w:t>виконання наступних робіт підвищеної небезпеки: роботи, що виконуються на висоті понад 1,3 метра. У разі надання декларації відповідності матеріально-технічної бази вимогам законодавства з питань охорони праці цей документ повинен підтверджувати можливість учасника виконувати роботи підвищеної небезпеки на об’єктах, де надаватимуться послуги за предметом цієї закупівлі, тому в</w:t>
      </w:r>
      <w:r w:rsidRPr="00AD0303">
        <w:rPr>
          <w:bCs/>
          <w:iCs/>
          <w:sz w:val="22"/>
          <w:szCs w:val="22"/>
          <w:lang w:val="uk-UA" w:eastAsia="ru-RU"/>
        </w:rPr>
        <w:t xml:space="preserve"> такій декларації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про місце виконання робіт: Україна або м. Київ.</w:t>
      </w:r>
    </w:p>
    <w:p w:rsidR="008C329A" w:rsidRPr="00AD0303" w:rsidRDefault="008C329A" w:rsidP="008C329A">
      <w:pPr>
        <w:pStyle w:val="a3"/>
        <w:numPr>
          <w:ilvl w:val="0"/>
          <w:numId w:val="4"/>
        </w:numPr>
        <w:tabs>
          <w:tab w:val="left" w:pos="993"/>
        </w:tabs>
        <w:ind w:left="0" w:firstLine="709"/>
        <w:jc w:val="both"/>
        <w:rPr>
          <w:sz w:val="22"/>
          <w:lang w:val="uk-UA" w:eastAsia="uk-UA"/>
        </w:rPr>
      </w:pPr>
      <w:r w:rsidRPr="00AD0303">
        <w:rPr>
          <w:sz w:val="22"/>
          <w:lang w:val="uk-UA" w:eastAsia="uk-UA"/>
        </w:rPr>
        <w:t xml:space="preserve">Довідка з </w:t>
      </w:r>
      <w:proofErr w:type="spellStart"/>
      <w:r w:rsidRPr="00AD0303">
        <w:rPr>
          <w:sz w:val="22"/>
          <w:lang w:val="uk-UA" w:eastAsia="uk-UA"/>
        </w:rPr>
        <w:t>адресою</w:t>
      </w:r>
      <w:proofErr w:type="spellEnd"/>
      <w:r w:rsidRPr="00AD0303">
        <w:rPr>
          <w:sz w:val="22"/>
          <w:lang w:val="uk-UA" w:eastAsia="uk-UA"/>
        </w:rPr>
        <w:t xml:space="preserve"> </w:t>
      </w:r>
      <w:r w:rsidRPr="00AD0303">
        <w:rPr>
          <w:iCs/>
          <w:sz w:val="22"/>
          <w:lang w:val="uk-UA"/>
        </w:rPr>
        <w:t>пульта пожежного спостерігання (</w:t>
      </w:r>
      <w:r w:rsidRPr="00AD0303">
        <w:rPr>
          <w:sz w:val="22"/>
          <w:lang w:val="uk-UA" w:eastAsia="uk-UA"/>
        </w:rPr>
        <w:t>устаткування індикації центрів приймання тривожних сповіщень)</w:t>
      </w:r>
      <w:r w:rsidRPr="00AD0303">
        <w:rPr>
          <w:iCs/>
          <w:sz w:val="22"/>
          <w:lang w:val="uk-UA"/>
        </w:rPr>
        <w:t xml:space="preserve">, який буде використовуватись для надання послуг за предметом цієї закупівлі, та </w:t>
      </w:r>
      <w:r w:rsidRPr="00AD0303">
        <w:rPr>
          <w:sz w:val="22"/>
          <w:lang w:val="uk-UA" w:eastAsia="uk-UA"/>
        </w:rPr>
        <w:t xml:space="preserve">документи, які підтверджують його наявність (якщо устаткування індикації центрів приймання тривожних сповіщень та програмне забезпечення системи передавання тривожних сповіщень власне – надати договір його купівлі-продажу з актом прийому-передачі/накладною/рахунком; якщо залучене – надати відповідний договір оренди або надання послуг, а також договір його купівлі-продажу власником з актом прийому-передачі/накладною/рахунком). Додатково на устаткування індикації центрів приймання тривожних сповіщень надати сертифікат відповідності та технічний паспорт/формуляр. </w:t>
      </w:r>
    </w:p>
    <w:p w:rsidR="008C329A" w:rsidRPr="00AD0303" w:rsidRDefault="008C329A" w:rsidP="008C329A">
      <w:pPr>
        <w:pStyle w:val="a3"/>
        <w:numPr>
          <w:ilvl w:val="0"/>
          <w:numId w:val="4"/>
        </w:numPr>
        <w:tabs>
          <w:tab w:val="left" w:pos="993"/>
        </w:tabs>
        <w:ind w:left="0" w:firstLine="709"/>
        <w:jc w:val="both"/>
        <w:rPr>
          <w:sz w:val="22"/>
          <w:lang w:val="uk-UA" w:eastAsia="uk-UA"/>
        </w:rPr>
      </w:pPr>
      <w:r w:rsidRPr="00AD0303">
        <w:rPr>
          <w:iCs/>
          <w:sz w:val="22"/>
          <w:lang w:val="uk-UA"/>
        </w:rPr>
        <w:t xml:space="preserve">Лист (або інший документ) про перелік зареєстрованих рахунків учасника у банківських установах, виданий не раніше чотирьох місяців відносно кінцевої дати подання тендерних пропозицій органом ДФС (органом ДПС). </w:t>
      </w:r>
    </w:p>
    <w:p w:rsidR="008C329A" w:rsidRPr="00AD0303" w:rsidRDefault="008C329A" w:rsidP="008C329A">
      <w:pPr>
        <w:pStyle w:val="a3"/>
        <w:numPr>
          <w:ilvl w:val="0"/>
          <w:numId w:val="4"/>
        </w:numPr>
        <w:tabs>
          <w:tab w:val="left" w:pos="993"/>
        </w:tabs>
        <w:ind w:left="0" w:firstLine="709"/>
        <w:jc w:val="both"/>
        <w:rPr>
          <w:sz w:val="22"/>
          <w:lang w:val="uk-UA" w:eastAsia="uk-UA"/>
        </w:rPr>
      </w:pPr>
      <w:r w:rsidRPr="00AD0303">
        <w:rPr>
          <w:iCs/>
          <w:sz w:val="22"/>
          <w:lang w:val="uk-UA"/>
        </w:rPr>
        <w:t>Лист (або інший документ) про не перебування Учасника в переліку платників, які відповідають критеріям ризиковості платника податків, виданий не раніше чотирьох місяців відносно кінцевої дати подання тендерних пропозицій органом ДФС (органом ДПС).</w:t>
      </w:r>
    </w:p>
    <w:p w:rsidR="008C329A" w:rsidRPr="00AD0303" w:rsidRDefault="008C329A" w:rsidP="008C329A">
      <w:pPr>
        <w:pStyle w:val="a3"/>
        <w:numPr>
          <w:ilvl w:val="0"/>
          <w:numId w:val="4"/>
        </w:numPr>
        <w:tabs>
          <w:tab w:val="left" w:pos="993"/>
        </w:tabs>
        <w:ind w:left="0" w:firstLine="709"/>
        <w:jc w:val="both"/>
        <w:rPr>
          <w:sz w:val="22"/>
          <w:lang w:val="uk-UA" w:eastAsia="uk-UA"/>
        </w:rPr>
      </w:pPr>
      <w:r w:rsidRPr="00AD0303">
        <w:rPr>
          <w:iCs/>
          <w:sz w:val="22"/>
          <w:lang w:val="uk-UA"/>
        </w:rPr>
        <w:t>Учасник забезпечує організацію навчання і перевірку знань з питань охорони праці своїх працівників по тим нормативно-правовим актам, додержання яких входить до їх функціональних обов’язків працівників, допуск до виконання робіт підвищеної небезпеки, а також функції з контролю за дотриманням вимог охорони праці, з організації та проведення відповідних інструктажів, перевірку знань з питань охорони праці, пожежної безпеки у встановленому діючими нормативними документами порядку для власного персоналу. На підтвердження надати в складі пропозиції наступні документи з охорони праці: затверджений на підприємстві учасника Перелік робіт з підвищеною небезпекою у формі наказу або іншого розпорядчого документа; журнал реєстрації інструкцій з питань охорони праці на підприємстві, журнал обліку видачі інструкцій, журнал реєстрації приписів служби охорони праці, журнал реєстрації нещасних випадків на виробництві.</w:t>
      </w:r>
    </w:p>
    <w:p w:rsidR="008C329A" w:rsidRPr="00AD0303" w:rsidRDefault="008C329A" w:rsidP="008C329A">
      <w:pPr>
        <w:ind w:firstLine="426"/>
        <w:jc w:val="both"/>
        <w:rPr>
          <w:sz w:val="22"/>
          <w:lang w:val="uk-UA" w:eastAsia="ar-SA"/>
        </w:rPr>
      </w:pPr>
    </w:p>
    <w:p w:rsidR="008C329A" w:rsidRPr="00AD0303" w:rsidRDefault="008C329A" w:rsidP="008C329A">
      <w:pPr>
        <w:ind w:firstLine="426"/>
        <w:jc w:val="both"/>
        <w:rPr>
          <w:iCs/>
          <w:sz w:val="22"/>
          <w:lang w:val="uk-UA"/>
        </w:rPr>
      </w:pPr>
      <w:r w:rsidRPr="00AD0303">
        <w:rPr>
          <w:sz w:val="22"/>
          <w:lang w:val="uk-UA" w:eastAsia="ar-SA"/>
        </w:rPr>
        <w:t>Дислокація закладів, у яких надаватимуть послуги:</w:t>
      </w:r>
    </w:p>
    <w:p w:rsidR="008C329A" w:rsidRPr="00AD0303" w:rsidRDefault="008C329A" w:rsidP="008C329A">
      <w:pPr>
        <w:ind w:firstLine="709"/>
        <w:jc w:val="both"/>
        <w:rPr>
          <w:b/>
          <w:iCs/>
        </w:rPr>
      </w:pPr>
    </w:p>
    <w:tbl>
      <w:tblPr>
        <w:tblStyle w:val="a4"/>
        <w:tblW w:w="10201" w:type="dxa"/>
        <w:tblInd w:w="279" w:type="dxa"/>
        <w:tblLayout w:type="fixed"/>
        <w:tblLook w:val="04A0" w:firstRow="1" w:lastRow="0" w:firstColumn="1" w:lastColumn="0" w:noHBand="0" w:noVBand="1"/>
      </w:tblPr>
      <w:tblGrid>
        <w:gridCol w:w="567"/>
        <w:gridCol w:w="6096"/>
        <w:gridCol w:w="3538"/>
      </w:tblGrid>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 з/п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8C329A" w:rsidRPr="00AD0303" w:rsidRDefault="008C329A" w:rsidP="00D7556A">
            <w:pPr>
              <w:jc w:val="center"/>
              <w:rPr>
                <w:sz w:val="22"/>
                <w:lang w:val="uk-UA"/>
              </w:rPr>
            </w:pPr>
            <w:r w:rsidRPr="00AD0303">
              <w:rPr>
                <w:sz w:val="22"/>
                <w:lang w:val="uk-UA"/>
              </w:rPr>
              <w:t>Заклад</w:t>
            </w:r>
          </w:p>
        </w:tc>
        <w:tc>
          <w:tcPr>
            <w:tcW w:w="3538" w:type="dxa"/>
            <w:tcBorders>
              <w:top w:val="single" w:sz="4" w:space="0" w:color="auto"/>
              <w:left w:val="single" w:sz="4" w:space="0" w:color="auto"/>
              <w:bottom w:val="single" w:sz="4" w:space="0" w:color="auto"/>
              <w:right w:val="single" w:sz="4" w:space="0" w:color="auto"/>
            </w:tcBorders>
            <w:vAlign w:val="center"/>
            <w:hideMark/>
          </w:tcPr>
          <w:p w:rsidR="008C329A" w:rsidRPr="00AD0303" w:rsidRDefault="008C329A" w:rsidP="00D7556A">
            <w:pPr>
              <w:jc w:val="center"/>
              <w:rPr>
                <w:sz w:val="22"/>
                <w:lang w:val="uk-UA"/>
              </w:rPr>
            </w:pPr>
            <w:r w:rsidRPr="00AD0303">
              <w:rPr>
                <w:sz w:val="22"/>
                <w:lang w:val="uk-UA"/>
              </w:rPr>
              <w:t>Адреса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№9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xml:space="preserve"> Червоної Калини, 89-А (Володимира Маяковського)</w:t>
            </w:r>
            <w:r w:rsidRPr="00AD0303">
              <w:rPr>
                <w:sz w:val="22"/>
                <w:lang w:val="uk-UA"/>
              </w:rPr>
              <w:t xml:space="preserve"> </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lastRenderedPageBreak/>
              <w:t>2</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№12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Кубанської України, 30-А (вул. Маршала Жукова)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3</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№15 "Едельвейс"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Оноре де Бальзака, 59</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4</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№27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Ореста Левицького, 11-А (Академіка </w:t>
            </w:r>
            <w:proofErr w:type="spellStart"/>
            <w:r w:rsidRPr="00AD0303">
              <w:rPr>
                <w:bCs/>
                <w:sz w:val="22"/>
                <w:lang w:val="uk-UA"/>
              </w:rPr>
              <w:t>Курчатова</w:t>
            </w:r>
            <w:proofErr w:type="spellEnd"/>
            <w:r w:rsidRPr="00AD0303">
              <w:rPr>
                <w:bCs/>
                <w:sz w:val="22"/>
                <w:lang w:val="uk-UA"/>
              </w:rPr>
              <w:t>)</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5</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Дошкільний навчальний заклад (ясла-садок) №34 "</w:t>
            </w:r>
            <w:proofErr w:type="spellStart"/>
            <w:r w:rsidRPr="00AD0303">
              <w:rPr>
                <w:bCs/>
                <w:sz w:val="22"/>
                <w:lang w:val="uk-UA"/>
              </w:rPr>
              <w:t>Оріяна"Деснянського</w:t>
            </w:r>
            <w:proofErr w:type="spellEnd"/>
            <w:r w:rsidRPr="00AD0303">
              <w:rPr>
                <w:bCs/>
                <w:sz w:val="22"/>
                <w:lang w:val="uk-UA"/>
              </w:rPr>
              <w:t xml:space="preserve">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Олександри Естер, 14-А (Марини </w:t>
            </w:r>
            <w:proofErr w:type="spellStart"/>
            <w:r w:rsidRPr="00AD0303">
              <w:rPr>
                <w:bCs/>
                <w:sz w:val="22"/>
                <w:lang w:val="uk-UA"/>
              </w:rPr>
              <w:t>Цвєтаєвої</w:t>
            </w:r>
            <w:proofErr w:type="spellEnd"/>
            <w:r w:rsidRPr="00AD0303">
              <w:rPr>
                <w:bCs/>
                <w:sz w:val="22"/>
                <w:lang w:val="uk-UA"/>
              </w:rPr>
              <w:t xml:space="preserve">) </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6</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№39 "Світанок"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w:t>
            </w:r>
            <w:proofErr w:type="spellStart"/>
            <w:r w:rsidRPr="00AD0303">
              <w:rPr>
                <w:bCs/>
                <w:sz w:val="22"/>
                <w:lang w:val="uk-UA"/>
              </w:rPr>
              <w:t>Мілютенка</w:t>
            </w:r>
            <w:proofErr w:type="spellEnd"/>
            <w:r w:rsidRPr="00AD0303">
              <w:rPr>
                <w:bCs/>
                <w:sz w:val="22"/>
                <w:lang w:val="uk-UA"/>
              </w:rPr>
              <w:t>, 44-А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7</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№50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w:t>
            </w:r>
            <w:proofErr w:type="spellStart"/>
            <w:r w:rsidRPr="00AD0303">
              <w:rPr>
                <w:bCs/>
                <w:sz w:val="22"/>
                <w:lang w:val="uk-UA"/>
              </w:rPr>
              <w:t>Мілютенка</w:t>
            </w:r>
            <w:proofErr w:type="spellEnd"/>
            <w:r w:rsidRPr="00AD0303">
              <w:rPr>
                <w:bCs/>
                <w:sz w:val="22"/>
                <w:lang w:val="uk-UA"/>
              </w:rPr>
              <w:t>, 10-А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8</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rPr>
                <w:bCs/>
                <w:sz w:val="22"/>
                <w:lang w:val="uk-UA"/>
              </w:rPr>
            </w:pPr>
            <w:r w:rsidRPr="00AD0303">
              <w:rPr>
                <w:bCs/>
                <w:sz w:val="22"/>
                <w:lang w:val="uk-UA"/>
              </w:rPr>
              <w:t>Дошкільний навчальний заклад (ясла-садок) №83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Оноре де Бальзака, 63-А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9</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rPr>
                <w:bCs/>
                <w:sz w:val="22"/>
                <w:lang w:val="uk-UA"/>
              </w:rPr>
            </w:pPr>
            <w:r w:rsidRPr="00AD0303">
              <w:rPr>
                <w:bCs/>
                <w:sz w:val="22"/>
                <w:lang w:val="uk-UA"/>
              </w:rPr>
              <w:t xml:space="preserve">Дошкільний навчальний заклад (ясла-садок) №91 "Діамант"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Радунська, 46-А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10</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highlight w:val="yellow"/>
                <w:lang w:val="uk-UA"/>
              </w:rPr>
            </w:pPr>
            <w:r w:rsidRPr="00AD0303">
              <w:rPr>
                <w:bCs/>
                <w:sz w:val="22"/>
                <w:lang w:val="uk-UA"/>
              </w:rPr>
              <w:t>Заклад дошкільної освіти (ясла-садок) №94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Рональда Рейгана, 30-Б (Теодора </w:t>
            </w:r>
            <w:proofErr w:type="spellStart"/>
            <w:r w:rsidRPr="00AD0303">
              <w:rPr>
                <w:bCs/>
                <w:sz w:val="22"/>
                <w:lang w:val="uk-UA"/>
              </w:rPr>
              <w:t>Драйзера</w:t>
            </w:r>
            <w:proofErr w:type="spellEnd"/>
            <w:r w:rsidRPr="00AD0303">
              <w:rPr>
                <w:bCs/>
                <w:sz w:val="22"/>
                <w:lang w:val="uk-UA"/>
              </w:rPr>
              <w:t>)</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11</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№102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Лісовий, 6-Б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12</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№111 Деснянського району 15міста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Оноре де Бальзака, 55-А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13</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№125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Миколи </w:t>
            </w:r>
            <w:proofErr w:type="spellStart"/>
            <w:r w:rsidRPr="00AD0303">
              <w:rPr>
                <w:bCs/>
                <w:sz w:val="22"/>
                <w:lang w:val="uk-UA"/>
              </w:rPr>
              <w:t>Лаврухіна</w:t>
            </w:r>
            <w:proofErr w:type="spellEnd"/>
            <w:r w:rsidRPr="00AD0303">
              <w:rPr>
                <w:bCs/>
                <w:sz w:val="22"/>
                <w:lang w:val="uk-UA"/>
              </w:rPr>
              <w:t>, 13-Б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14</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 136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Червоної Калини, 7-Б (Володимира Маяковського)</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15</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№165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w:t>
            </w:r>
            <w:proofErr w:type="spellStart"/>
            <w:r w:rsidRPr="00AD0303">
              <w:rPr>
                <w:bCs/>
                <w:sz w:val="22"/>
                <w:lang w:val="uk-UA"/>
              </w:rPr>
              <w:t>Будищанська</w:t>
            </w:r>
            <w:proofErr w:type="spellEnd"/>
            <w:r w:rsidRPr="00AD0303">
              <w:rPr>
                <w:bCs/>
                <w:sz w:val="22"/>
                <w:lang w:val="uk-UA"/>
              </w:rPr>
              <w:t>, 4-А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16</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Дошкільний навчальний заклад (ясла-садок) №170 комбінованого типу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Червоної Калини, 7-В (Володимира Маяковського)</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17</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Дошкільний навчальний заклад (ясла-садок) №175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Радистів, 61</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18</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№176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Лісовий, 31-А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19</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Дошкільний навчальний заклад (ясла-садок) №202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Братиславська, 4-А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 xml:space="preserve"> 20</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Дошкільний навчальний заклад (ясла-садок) №222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Милославська, 12-Б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 xml:space="preserve"> 21</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Дошкільний навчальний заклад (ясла-садок) №300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Радунська, 22/9-А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center"/>
              <w:rPr>
                <w:sz w:val="22"/>
                <w:lang w:val="uk-UA"/>
              </w:rPr>
            </w:pPr>
            <w:r w:rsidRPr="00AD0303">
              <w:rPr>
                <w:sz w:val="22"/>
                <w:lang w:val="uk-UA"/>
              </w:rPr>
              <w:t>22</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№301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w:t>
            </w:r>
            <w:proofErr w:type="spellStart"/>
            <w:r w:rsidRPr="00AD0303">
              <w:rPr>
                <w:bCs/>
                <w:sz w:val="22"/>
                <w:lang w:val="uk-UA"/>
              </w:rPr>
              <w:t>Мілютенка</w:t>
            </w:r>
            <w:proofErr w:type="spellEnd"/>
            <w:r w:rsidRPr="00AD0303">
              <w:rPr>
                <w:bCs/>
                <w:sz w:val="22"/>
                <w:lang w:val="uk-UA"/>
              </w:rPr>
              <w:t>, 18-А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23</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Заклад дошкільної освіти (ясла-садок) № 327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Радунська, 7-Б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24</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№333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w:t>
            </w:r>
            <w:proofErr w:type="spellStart"/>
            <w:r w:rsidRPr="00AD0303">
              <w:rPr>
                <w:bCs/>
                <w:sz w:val="22"/>
                <w:lang w:val="uk-UA"/>
              </w:rPr>
              <w:t>Лісківська</w:t>
            </w:r>
            <w:proofErr w:type="spellEnd"/>
            <w:r w:rsidRPr="00AD0303">
              <w:rPr>
                <w:bCs/>
                <w:sz w:val="22"/>
                <w:lang w:val="uk-UA"/>
              </w:rPr>
              <w:t>, 20-А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25</w:t>
            </w:r>
          </w:p>
        </w:tc>
        <w:tc>
          <w:tcPr>
            <w:tcW w:w="6096" w:type="dxa"/>
            <w:tcBorders>
              <w:top w:val="single" w:sz="4" w:space="0" w:color="auto"/>
              <w:left w:val="single" w:sz="4" w:space="0" w:color="auto"/>
              <w:bottom w:val="single" w:sz="4" w:space="0" w:color="auto"/>
              <w:right w:val="single" w:sz="4" w:space="0" w:color="auto"/>
            </w:tcBorders>
            <w:hideMark/>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№362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Миколи Закревського, 99-А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26</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Дошкільний навчальний заклад (ясла-садок) №421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Оноре де Бальзака, 86-А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27</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Дошкільний навчальний заклад (ясла-садок) №422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bCs/>
                <w:sz w:val="22"/>
                <w:lang w:val="uk-UA"/>
              </w:rPr>
            </w:pPr>
            <w:r w:rsidRPr="00AD0303">
              <w:rPr>
                <w:bCs/>
                <w:sz w:val="22"/>
                <w:lang w:val="uk-UA"/>
              </w:rPr>
              <w:t>вул. Шолом-</w:t>
            </w:r>
            <w:proofErr w:type="spellStart"/>
            <w:r w:rsidRPr="00AD0303">
              <w:rPr>
                <w:bCs/>
                <w:sz w:val="22"/>
                <w:lang w:val="uk-UA"/>
              </w:rPr>
              <w:t>Алейхема</w:t>
            </w:r>
            <w:proofErr w:type="spellEnd"/>
            <w:r w:rsidRPr="00AD0303">
              <w:rPr>
                <w:bCs/>
                <w:sz w:val="22"/>
                <w:lang w:val="uk-UA"/>
              </w:rPr>
              <w:t>, 1-А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28</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Дошкільний навчальний заклад (ясла-садок) №459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w:t>
            </w:r>
            <w:proofErr w:type="spellStart"/>
            <w:r w:rsidRPr="00AD0303">
              <w:rPr>
                <w:bCs/>
                <w:sz w:val="22"/>
                <w:lang w:val="uk-UA"/>
              </w:rPr>
              <w:t>Будищанська</w:t>
            </w:r>
            <w:proofErr w:type="spellEnd"/>
            <w:r w:rsidRPr="00AD0303">
              <w:rPr>
                <w:bCs/>
                <w:sz w:val="22"/>
                <w:lang w:val="uk-UA"/>
              </w:rPr>
              <w:t>, 5-А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29</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№491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Братиславська, 16-А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30</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№508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Лісовий, 24-А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31</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№509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Лісовий, 19-А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lastRenderedPageBreak/>
              <w:t>32</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№512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Оноре де Бальзака, 46-Б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33</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Дошкільний навчальний заклад (ясла-садок) № 514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Ореста Левицького, 14-А (Академіка </w:t>
            </w:r>
            <w:proofErr w:type="spellStart"/>
            <w:r w:rsidRPr="00AD0303">
              <w:rPr>
                <w:bCs/>
                <w:sz w:val="22"/>
                <w:lang w:val="uk-UA"/>
              </w:rPr>
              <w:t>Курчатова</w:t>
            </w:r>
            <w:proofErr w:type="spellEnd"/>
            <w:r w:rsidRPr="00AD0303">
              <w:rPr>
                <w:bCs/>
                <w:sz w:val="22"/>
                <w:lang w:val="uk-UA"/>
              </w:rPr>
              <w:t>)</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34</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№519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Ореста Левицького, 8-А (Академіка </w:t>
            </w:r>
            <w:proofErr w:type="spellStart"/>
            <w:r w:rsidRPr="00AD0303">
              <w:rPr>
                <w:bCs/>
                <w:sz w:val="22"/>
                <w:lang w:val="uk-UA"/>
              </w:rPr>
              <w:t>Курчатова</w:t>
            </w:r>
            <w:proofErr w:type="spellEnd"/>
            <w:r w:rsidRPr="00AD0303">
              <w:rPr>
                <w:bCs/>
                <w:sz w:val="22"/>
                <w:lang w:val="uk-UA"/>
              </w:rPr>
              <w:t>)</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35</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Заклад дошкільної освіти (ясла-садок) №520 "Юніор" Деснянського району міста Києва</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Кубанської України, 47-Б (вул. Маршала Жукова)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36</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№528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w:t>
            </w:r>
            <w:proofErr w:type="spellStart"/>
            <w:r w:rsidRPr="00AD0303">
              <w:rPr>
                <w:bCs/>
                <w:sz w:val="22"/>
                <w:lang w:val="uk-UA"/>
              </w:rPr>
              <w:t>Мілютенка</w:t>
            </w:r>
            <w:proofErr w:type="spellEnd"/>
            <w:r w:rsidRPr="00AD0303">
              <w:rPr>
                <w:bCs/>
                <w:sz w:val="22"/>
                <w:lang w:val="uk-UA"/>
              </w:rPr>
              <w:t>, 23-Б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37</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№534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Кубанської України, 24-Б (вул. Маршала Жукова)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38</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№555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Кубанської України, 33-А (вул. Маршала Жукова)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39</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Спеціальний дошкільний навчальний заклад (дитячий садок) №569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Миколи </w:t>
            </w:r>
            <w:proofErr w:type="spellStart"/>
            <w:r w:rsidRPr="00AD0303">
              <w:rPr>
                <w:bCs/>
                <w:sz w:val="22"/>
                <w:lang w:val="uk-UA"/>
              </w:rPr>
              <w:t>Матеюка</w:t>
            </w:r>
            <w:proofErr w:type="spellEnd"/>
            <w:r w:rsidRPr="00AD0303">
              <w:rPr>
                <w:bCs/>
                <w:sz w:val="22"/>
                <w:lang w:val="uk-UA"/>
              </w:rPr>
              <w:t>, 15-А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40</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№597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Шолом-</w:t>
            </w:r>
            <w:proofErr w:type="spellStart"/>
            <w:r w:rsidRPr="00AD0303">
              <w:rPr>
                <w:bCs/>
                <w:sz w:val="22"/>
                <w:lang w:val="uk-UA"/>
              </w:rPr>
              <w:t>Алейхема</w:t>
            </w:r>
            <w:proofErr w:type="spellEnd"/>
            <w:r w:rsidRPr="00AD0303">
              <w:rPr>
                <w:bCs/>
                <w:sz w:val="22"/>
                <w:lang w:val="uk-UA"/>
              </w:rPr>
              <w:t>, 4-А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41</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№689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Червоної Калини, 24-В (Володимира Маяковського)</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42</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№690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Миколи Закревського, 31-А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43</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№721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Милославська, 23-А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44</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№742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Вікентія Беретті, 5-Б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45</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№743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Сержа Лифаря, 5-А  (Олександра Сабурова)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46</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№744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Миколи Закревського, 19-Б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47</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№745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Червоної Калини, 18-Б (Володимира Маяковського)</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48</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№746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bCs/>
                <w:sz w:val="22"/>
                <w:lang w:val="uk-UA"/>
              </w:rPr>
            </w:pPr>
            <w:r w:rsidRPr="00AD0303">
              <w:rPr>
                <w:bCs/>
                <w:sz w:val="22"/>
                <w:lang w:val="uk-UA"/>
              </w:rPr>
              <w:t xml:space="preserve">вул. Сержа Лифаря, 11-Б </w:t>
            </w:r>
          </w:p>
          <w:p w:rsidR="008C329A" w:rsidRPr="00AD0303" w:rsidRDefault="008C329A" w:rsidP="00D7556A">
            <w:pPr>
              <w:jc w:val="center"/>
              <w:rPr>
                <w:sz w:val="22"/>
                <w:lang w:val="uk-UA"/>
              </w:rPr>
            </w:pPr>
            <w:r w:rsidRPr="00AD0303">
              <w:rPr>
                <w:bCs/>
                <w:sz w:val="22"/>
                <w:lang w:val="uk-UA"/>
              </w:rPr>
              <w:t>(Олександра Сабурова)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49</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№752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Червоної Калини, 4-Д (Володимира Маяковського)</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50</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Спеціальний дошкільний навчальний заклад (дитячий садок) №753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Миколи Закревського, 37-А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51</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Спеціальний дошкільний навчальний заклад (ясла-садок) №755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bCs/>
                <w:sz w:val="22"/>
                <w:lang w:val="uk-UA"/>
              </w:rPr>
            </w:pPr>
            <w:r w:rsidRPr="00AD0303">
              <w:rPr>
                <w:bCs/>
                <w:sz w:val="22"/>
                <w:lang w:val="uk-UA"/>
              </w:rPr>
              <w:t xml:space="preserve">вул. Сержа Лифаря, 19-А </w:t>
            </w:r>
          </w:p>
          <w:p w:rsidR="008C329A" w:rsidRPr="00AD0303" w:rsidRDefault="008C329A" w:rsidP="00D7556A">
            <w:pPr>
              <w:jc w:val="center"/>
              <w:rPr>
                <w:sz w:val="22"/>
                <w:lang w:val="uk-UA"/>
              </w:rPr>
            </w:pPr>
            <w:r w:rsidRPr="00AD0303">
              <w:rPr>
                <w:bCs/>
                <w:sz w:val="22"/>
                <w:lang w:val="uk-UA"/>
              </w:rPr>
              <w:t>(Олександра Сабурова)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52</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Заклад дошкільної освіти (ясла-садок) №757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Миколи Закревського, 49-Б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53</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 758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Червоної Калини, 10-А (Володимира Маяковського)</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54</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№767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Миколи Закревського, 9-А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55</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№768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Архітектора Ніколаєва, 5-А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56</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№769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Червоної Калини, 19 (Володимира Маяковського)</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57</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№770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w:t>
            </w:r>
            <w:proofErr w:type="spellStart"/>
            <w:r w:rsidRPr="00AD0303">
              <w:rPr>
                <w:bCs/>
                <w:sz w:val="22"/>
                <w:lang w:val="uk-UA"/>
              </w:rPr>
              <w:t>Будищанська</w:t>
            </w:r>
            <w:proofErr w:type="spellEnd"/>
            <w:r w:rsidRPr="00AD0303">
              <w:rPr>
                <w:bCs/>
                <w:sz w:val="22"/>
                <w:lang w:val="uk-UA"/>
              </w:rPr>
              <w:t>, 7-Б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58</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№771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Оноре де Бальзака, 52-Б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59</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№776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 xml:space="preserve">вул. </w:t>
            </w:r>
            <w:proofErr w:type="spellStart"/>
            <w:r w:rsidRPr="00AD0303">
              <w:rPr>
                <w:bCs/>
                <w:sz w:val="22"/>
                <w:lang w:val="uk-UA"/>
              </w:rPr>
              <w:t>Лісківська</w:t>
            </w:r>
            <w:proofErr w:type="spellEnd"/>
            <w:r w:rsidRPr="00AD0303">
              <w:rPr>
                <w:bCs/>
                <w:sz w:val="22"/>
                <w:lang w:val="uk-UA"/>
              </w:rPr>
              <w:t>, 8-А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60</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№780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Сержа Лифаря, 16-Б (Олександра Сабурова)</w:t>
            </w:r>
          </w:p>
        </w:tc>
      </w:tr>
      <w:tr w:rsidR="008C329A" w:rsidRPr="00AD0303" w:rsidTr="00D7556A">
        <w:trPr>
          <w:trHeight w:val="93"/>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61</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№781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бульв</w:t>
            </w:r>
            <w:proofErr w:type="spellEnd"/>
            <w:r w:rsidRPr="00AD0303">
              <w:rPr>
                <w:bCs/>
                <w:sz w:val="22"/>
                <w:lang w:val="uk-UA"/>
              </w:rPr>
              <w:t>. Володимира Висоцького, 3</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lastRenderedPageBreak/>
              <w:t>62</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№784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Оноре де Бальзака, 16-Б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63</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№795 комбінованого типу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Червоної Калини, 52-А (Володимира Маяковського)</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64</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№796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Костянтина Данькевича, 1-А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65</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№797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бульв</w:t>
            </w:r>
            <w:proofErr w:type="spellEnd"/>
            <w:r w:rsidRPr="00AD0303">
              <w:rPr>
                <w:bCs/>
                <w:sz w:val="22"/>
                <w:lang w:val="uk-UA"/>
              </w:rPr>
              <w:t>. Леоніда Бикова, 3-А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66</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№811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Миколи Закревського, 89-А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67</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Дошкільний навчальний заклад (ясла-садок) №812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просп</w:t>
            </w:r>
            <w:proofErr w:type="spellEnd"/>
            <w:r w:rsidRPr="00AD0303">
              <w:rPr>
                <w:bCs/>
                <w:sz w:val="22"/>
                <w:lang w:val="uk-UA"/>
              </w:rPr>
              <w:t>. Червоної Калини, 62-Г (Володимира Маяковського)</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68</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Початкова школа "Лісові дзвіночки"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Космонавта Поповича, 22-А (Космонавта Волкова)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69</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Спеціальний навчально-виховний комплекс "Мрія"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Вікентія Беретті, 9</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70</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Початкова школа "Київські каштани"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Каштанова, 13-Б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71</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Початкова школа "</w:t>
            </w:r>
            <w:proofErr w:type="spellStart"/>
            <w:r w:rsidRPr="00AD0303">
              <w:rPr>
                <w:bCs/>
                <w:sz w:val="22"/>
                <w:lang w:val="uk-UA"/>
              </w:rPr>
              <w:t>Деснянка</w:t>
            </w:r>
            <w:proofErr w:type="spellEnd"/>
            <w:r w:rsidRPr="00AD0303">
              <w:rPr>
                <w:bCs/>
                <w:sz w:val="22"/>
                <w:lang w:val="uk-UA"/>
              </w:rPr>
              <w:t xml:space="preserve">"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proofErr w:type="spellStart"/>
            <w:r w:rsidRPr="00AD0303">
              <w:rPr>
                <w:bCs/>
                <w:sz w:val="22"/>
                <w:lang w:val="uk-UA"/>
              </w:rPr>
              <w:t>бульв</w:t>
            </w:r>
            <w:proofErr w:type="spellEnd"/>
            <w:r w:rsidRPr="00AD0303">
              <w:rPr>
                <w:bCs/>
                <w:sz w:val="22"/>
                <w:lang w:val="uk-UA"/>
              </w:rPr>
              <w:t xml:space="preserve">. </w:t>
            </w:r>
            <w:proofErr w:type="spellStart"/>
            <w:r w:rsidRPr="00AD0303">
              <w:rPr>
                <w:bCs/>
                <w:sz w:val="22"/>
                <w:lang w:val="uk-UA"/>
              </w:rPr>
              <w:t>Вигурівський</w:t>
            </w:r>
            <w:proofErr w:type="spellEnd"/>
            <w:r w:rsidRPr="00AD0303">
              <w:rPr>
                <w:bCs/>
                <w:sz w:val="22"/>
                <w:lang w:val="uk-UA"/>
              </w:rPr>
              <w:t>, 13-Б</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72</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Початкова школа "Вікторія"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Миколи Закревського, 85-В</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73</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 xml:space="preserve">Початкова школа "Усмішка" Деснянського району міста Києва </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Оноре де Бальзака, 90-А</w:t>
            </w:r>
          </w:p>
        </w:tc>
      </w:tr>
      <w:tr w:rsidR="008C329A" w:rsidRPr="00AD0303" w:rsidTr="00D7556A">
        <w:trPr>
          <w:trHeight w:val="19"/>
        </w:trPr>
        <w:tc>
          <w:tcPr>
            <w:tcW w:w="567"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sz w:val="22"/>
                <w:lang w:val="uk-UA"/>
              </w:rPr>
              <w:t>74</w:t>
            </w:r>
          </w:p>
        </w:tc>
        <w:tc>
          <w:tcPr>
            <w:tcW w:w="6096"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both"/>
              <w:rPr>
                <w:bCs/>
                <w:sz w:val="22"/>
                <w:lang w:val="uk-UA"/>
              </w:rPr>
            </w:pPr>
            <w:r w:rsidRPr="00AD0303">
              <w:rPr>
                <w:bCs/>
                <w:sz w:val="22"/>
                <w:lang w:val="uk-UA"/>
              </w:rPr>
              <w:t>Управління освіти Деснянської районної в місті Києві державної адміністрації</w:t>
            </w:r>
          </w:p>
        </w:tc>
        <w:tc>
          <w:tcPr>
            <w:tcW w:w="3538" w:type="dxa"/>
            <w:tcBorders>
              <w:top w:val="single" w:sz="4" w:space="0" w:color="auto"/>
              <w:left w:val="single" w:sz="4" w:space="0" w:color="auto"/>
              <w:bottom w:val="single" w:sz="4" w:space="0" w:color="auto"/>
              <w:right w:val="single" w:sz="4" w:space="0" w:color="auto"/>
            </w:tcBorders>
          </w:tcPr>
          <w:p w:rsidR="008C329A" w:rsidRPr="00AD0303" w:rsidRDefault="008C329A" w:rsidP="00D7556A">
            <w:pPr>
              <w:jc w:val="center"/>
              <w:rPr>
                <w:sz w:val="22"/>
                <w:lang w:val="uk-UA"/>
              </w:rPr>
            </w:pPr>
            <w:r w:rsidRPr="00AD0303">
              <w:rPr>
                <w:bCs/>
                <w:sz w:val="22"/>
                <w:lang w:val="uk-UA"/>
              </w:rPr>
              <w:t>вул. Миколи Закревського, 15-А</w:t>
            </w:r>
          </w:p>
        </w:tc>
      </w:tr>
    </w:tbl>
    <w:p w:rsidR="008C329A" w:rsidRPr="00AD0303" w:rsidRDefault="008C329A" w:rsidP="008C329A"/>
    <w:p w:rsidR="008C329A" w:rsidRPr="00AD0303" w:rsidRDefault="008C329A" w:rsidP="008C329A">
      <w:pPr>
        <w:ind w:firstLine="284"/>
        <w:jc w:val="both"/>
        <w:rPr>
          <w:i/>
          <w:sz w:val="20"/>
          <w:szCs w:val="20"/>
          <w:lang w:val="uk-UA"/>
        </w:rPr>
      </w:pPr>
    </w:p>
    <w:p w:rsidR="008C329A" w:rsidRPr="00AD0303" w:rsidRDefault="008C329A" w:rsidP="008C329A">
      <w:pPr>
        <w:ind w:firstLine="284"/>
        <w:jc w:val="both"/>
        <w:rPr>
          <w:i/>
          <w:sz w:val="20"/>
          <w:szCs w:val="20"/>
          <w:lang w:val="uk-UA"/>
        </w:rPr>
      </w:pPr>
      <w:r w:rsidRPr="00AD0303">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8C329A" w:rsidRDefault="008C329A" w:rsidP="008C329A">
      <w:pPr>
        <w:spacing w:after="160" w:line="259" w:lineRule="auto"/>
        <w:rPr>
          <w:rFonts w:eastAsiaTheme="minorHAnsi"/>
          <w:b/>
          <w:bCs/>
          <w:lang w:val="uk-UA" w:eastAsia="uk-UA"/>
        </w:rPr>
      </w:pPr>
      <w:bookmarkStart w:id="1" w:name="_GoBack"/>
      <w:bookmarkEnd w:id="1"/>
    </w:p>
    <w:sectPr w:rsidR="00AC1413" w:rsidRPr="008C329A"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5D7"/>
    <w:multiLevelType w:val="hybridMultilevel"/>
    <w:tmpl w:val="29888E40"/>
    <w:lvl w:ilvl="0" w:tplc="21A8ABC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4AD04A7E"/>
    <w:multiLevelType w:val="hybridMultilevel"/>
    <w:tmpl w:val="3FBEE77C"/>
    <w:lvl w:ilvl="0" w:tplc="FF7AB474">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5229283A"/>
    <w:multiLevelType w:val="hybridMultilevel"/>
    <w:tmpl w:val="099C09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60382093"/>
    <w:multiLevelType w:val="hybridMultilevel"/>
    <w:tmpl w:val="A6243E2A"/>
    <w:lvl w:ilvl="0" w:tplc="945AC1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9A"/>
    <w:rsid w:val="008C329A"/>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71CF"/>
  <w15:chartTrackingRefBased/>
  <w15:docId w15:val="{7B022A3D-91FC-4E2D-A592-3FF76AA2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9A"/>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29A"/>
    <w:pPr>
      <w:ind w:left="720"/>
    </w:pPr>
    <w:rPr>
      <w:lang w:val="en-GB" w:eastAsia="en-US"/>
    </w:rPr>
  </w:style>
  <w:style w:type="character" w:customStyle="1" w:styleId="2">
    <w:name w:val="Заголовок №2_"/>
    <w:link w:val="20"/>
    <w:rsid w:val="008C329A"/>
    <w:rPr>
      <w:shd w:val="clear" w:color="auto" w:fill="FFFFFF"/>
    </w:rPr>
  </w:style>
  <w:style w:type="paragraph" w:customStyle="1" w:styleId="20">
    <w:name w:val="Заголовок №2"/>
    <w:basedOn w:val="a"/>
    <w:link w:val="2"/>
    <w:rsid w:val="008C329A"/>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8C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2782</Words>
  <Characters>15860</Characters>
  <Application>Microsoft Office Word</Application>
  <DocSecurity>0</DocSecurity>
  <Lines>132</Lines>
  <Paragraphs>37</Paragraphs>
  <ScaleCrop>false</ScaleCrop>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2023-12-28T11:17:00Z</dcterms:created>
  <dcterms:modified xsi:type="dcterms:W3CDTF">2023-12-28T11:17:00Z</dcterms:modified>
</cp:coreProperties>
</file>