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BA5AF3" w:rsidRDefault="00BA5AF3" w:rsidP="00BA5AF3">
            <w:pPr>
              <w:ind w:left="360"/>
            </w:pPr>
            <w:r>
              <w:t xml:space="preserve">За адресами Замовника: </w:t>
            </w:r>
          </w:p>
          <w:p w:rsidR="00BA5AF3" w:rsidRDefault="00BA5AF3" w:rsidP="00BA5AF3">
            <w:pPr>
              <w:numPr>
                <w:ilvl w:val="0"/>
                <w:numId w:val="2"/>
              </w:numPr>
              <w:suppressAutoHyphens/>
              <w:spacing w:after="0" w:line="240" w:lineRule="auto"/>
            </w:pPr>
            <w:r>
              <w:t>65104, м. Одеса, вул. Ільфа і Петрова, 20-Б</w:t>
            </w:r>
          </w:p>
          <w:p w:rsidR="00BA5AF3" w:rsidRDefault="00BA5AF3" w:rsidP="00BA5AF3">
            <w:pPr>
              <w:numPr>
                <w:ilvl w:val="0"/>
                <w:numId w:val="2"/>
              </w:numPr>
              <w:suppressAutoHyphens/>
              <w:spacing w:after="0" w:line="240" w:lineRule="auto"/>
            </w:pPr>
            <w:r>
              <w:t>65082, м. Одеса, вул. Преображенська, 18</w:t>
            </w:r>
          </w:p>
          <w:p w:rsidR="00BA5AF3" w:rsidRDefault="00BA5AF3" w:rsidP="00BA5AF3">
            <w:pPr>
              <w:numPr>
                <w:ilvl w:val="0"/>
                <w:numId w:val="2"/>
              </w:numPr>
              <w:suppressAutoHyphens/>
              <w:spacing w:after="0" w:line="240" w:lineRule="auto"/>
            </w:pPr>
            <w:r>
              <w:t>65082, м. Одеса, вул. Некрасова, 8</w:t>
            </w:r>
          </w:p>
          <w:p w:rsidR="00BA5AF3" w:rsidRDefault="00BA5AF3" w:rsidP="00BA5AF3">
            <w:pPr>
              <w:widowControl w:val="0"/>
              <w:numPr>
                <w:ilvl w:val="0"/>
                <w:numId w:val="2"/>
              </w:numPr>
              <w:suppressAutoHyphens/>
              <w:spacing w:after="0" w:line="240" w:lineRule="auto"/>
              <w:jc w:val="both"/>
              <w:textAlignment w:val="top"/>
            </w:pPr>
            <w:r>
              <w:t xml:space="preserve">65005, м. Одеса, вул. </w:t>
            </w:r>
            <w:proofErr w:type="spellStart"/>
            <w:r>
              <w:t>Прохоровська</w:t>
            </w:r>
            <w:proofErr w:type="spellEnd"/>
            <w:r>
              <w:t>, 21</w:t>
            </w:r>
          </w:p>
          <w:p w:rsidR="00BA5AF3" w:rsidRPr="00091986" w:rsidRDefault="00BA5AF3" w:rsidP="00BA5AF3">
            <w:pPr>
              <w:pStyle w:val="af5"/>
              <w:rPr>
                <w:bCs/>
                <w:sz w:val="24"/>
                <w:szCs w:val="24"/>
                <w:lang w:val="uk-UA"/>
              </w:rPr>
            </w:pPr>
            <w:r>
              <w:rPr>
                <w:bCs/>
                <w:sz w:val="24"/>
                <w:szCs w:val="24"/>
                <w:lang w:val="uk-UA"/>
              </w:rPr>
              <w:t xml:space="preserve">        </w:t>
            </w:r>
            <w:r w:rsidRPr="009B3CE5">
              <w:rPr>
                <w:bCs/>
                <w:sz w:val="24"/>
                <w:szCs w:val="24"/>
                <w:lang w:val="uk-UA"/>
              </w:rPr>
              <w:t xml:space="preserve">Кількість, обсяг: </w:t>
            </w:r>
            <w:r>
              <w:rPr>
                <w:bCs/>
                <w:sz w:val="24"/>
                <w:szCs w:val="24"/>
                <w:lang w:val="uk-UA"/>
              </w:rPr>
              <w:t>70 000</w:t>
            </w:r>
            <w:r w:rsidRPr="009B3CE5">
              <w:rPr>
                <w:bCs/>
                <w:sz w:val="24"/>
                <w:szCs w:val="24"/>
                <w:lang w:val="uk-UA"/>
              </w:rPr>
              <w:t xml:space="preserve"> кВт/годин</w:t>
            </w:r>
          </w:p>
          <w:p w:rsidR="0040483C" w:rsidRDefault="0040483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Pr="00BA5AF3" w:rsidRDefault="00BA5AF3" w:rsidP="00BA5AF3">
            <w:pPr>
              <w:spacing w:line="276" w:lineRule="auto"/>
              <w:jc w:val="center"/>
              <w:rPr>
                <w:rFonts w:ascii="Times New Roman" w:eastAsia="Arial" w:hAnsi="Times New Roman" w:cs="Times New Roman"/>
                <w:sz w:val="24"/>
                <w:szCs w:val="24"/>
              </w:rPr>
            </w:pPr>
            <w:r w:rsidRPr="00BA5AF3">
              <w:rPr>
                <w:rFonts w:ascii="Times New Roman" w:hAnsi="Times New Roman" w:cs="Times New Roman"/>
                <w:sz w:val="24"/>
                <w:szCs w:val="24"/>
              </w:rPr>
              <w:t xml:space="preserve">70 000 </w:t>
            </w:r>
            <w:r w:rsidR="0040483C" w:rsidRPr="00BA5AF3">
              <w:rPr>
                <w:rFonts w:ascii="Times New Roman" w:hAnsi="Times New Roman" w:cs="Times New Roman"/>
                <w:sz w:val="24"/>
                <w:szCs w:val="24"/>
              </w:rPr>
              <w:t xml:space="preserve"> 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Pr="00BA5AF3" w:rsidRDefault="00BA5AF3" w:rsidP="00BA5AF3">
            <w:pPr>
              <w:spacing w:line="276" w:lineRule="auto"/>
              <w:jc w:val="center"/>
              <w:rPr>
                <w:rFonts w:ascii="Times New Roman" w:eastAsia="Arial" w:hAnsi="Times New Roman" w:cs="Times New Roman"/>
                <w:b/>
                <w:bCs/>
                <w:sz w:val="24"/>
                <w:szCs w:val="24"/>
              </w:rPr>
            </w:pPr>
            <w:r w:rsidRPr="00BA5AF3">
              <w:rPr>
                <w:rFonts w:ascii="Times New Roman" w:hAnsi="Times New Roman" w:cs="Times New Roman"/>
                <w:sz w:val="24"/>
                <w:szCs w:val="24"/>
              </w:rPr>
              <w:t>70 000</w:t>
            </w:r>
            <w:r w:rsidR="0040483C" w:rsidRPr="00BA5AF3">
              <w:rPr>
                <w:rFonts w:ascii="Times New Roman" w:hAnsi="Times New Roman" w:cs="Times New Roman"/>
                <w:sz w:val="24"/>
                <w:szCs w:val="24"/>
              </w:rPr>
              <w:t xml:space="preserve"> 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bookmarkStart w:id="0" w:name="_GoBack"/>
      <w:bookmarkEnd w:id="0"/>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BA5AF3">
        <w:rPr>
          <w:rFonts w:ascii="Times New Roman" w:hAnsi="Times New Roman" w:cs="Times New Roman"/>
          <w:sz w:val="24"/>
          <w:szCs w:val="24"/>
          <w:lang w:eastAsia="zh-CN"/>
        </w:rPr>
        <w:t>до 31.12.20</w:t>
      </w:r>
      <w:r w:rsidR="00BA5AF3" w:rsidRPr="00BA5AF3">
        <w:rPr>
          <w:rFonts w:ascii="Times New Roman" w:hAnsi="Times New Roman" w:cs="Times New Roman"/>
          <w:sz w:val="24"/>
          <w:szCs w:val="24"/>
          <w:lang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Pr="00BA5AF3" w:rsidRDefault="00A17568" w:rsidP="00A17568">
      <w:pPr>
        <w:tabs>
          <w:tab w:val="left" w:pos="6330"/>
        </w:tabs>
        <w:spacing w:after="0" w:line="240" w:lineRule="auto"/>
        <w:jc w:val="both"/>
        <w:rPr>
          <w:rFonts w:ascii="Times New Roman" w:eastAsia="Arial" w:hAnsi="Times New Roman" w:cs="Times New Roman"/>
          <w:b/>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BA5AF3" w:rsidRPr="00BA5AF3">
        <w:rPr>
          <w:rFonts w:ascii="Times New Roman" w:hAnsi="Times New Roman" w:cs="Times New Roman"/>
          <w:b/>
        </w:rPr>
        <w:t>ФІЗИКО-ХІМІЧНИЙ ІНСТИТУТ ЗАХИСТУ НАВКОЛИШНЬОГО СЕРЕДОВИЩА І ЛЮДИНИ МОН УКРАЇНИ ТА НАН УКРАЇНИ</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 xml:space="preserve">параметри якості електричної енергії в точках приєднання споживачів у нормальних умовах експлуатації мають відповідати </w:t>
      </w:r>
      <w:r>
        <w:rPr>
          <w:rFonts w:ascii="Times New Roman" w:eastAsia="Times New Roman" w:hAnsi="Times New Roman" w:cs="Times New Roman"/>
          <w:sz w:val="24"/>
          <w:szCs w:val="24"/>
          <w:shd w:val="clear" w:color="auto" w:fill="FFFFFF"/>
          <w:lang w:eastAsia="zh-CN"/>
        </w:rPr>
        <w:lastRenderedPageBreak/>
        <w:t>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w:t>
      </w:r>
      <w:proofErr w:type="spellStart"/>
      <w:r w:rsidR="00471E56" w:rsidRPr="00471E56">
        <w:rPr>
          <w:rFonts w:ascii="Times New Roman" w:eastAsia="Times New Roman" w:hAnsi="Times New Roman" w:cs="Times New Roman"/>
          <w:sz w:val="24"/>
          <w:szCs w:val="24"/>
          <w:lang w:eastAsia="ar-SA"/>
        </w:rPr>
        <w:t>МВт</w:t>
      </w:r>
      <w:proofErr w:type="spellEnd"/>
      <w:r w:rsidR="00471E56" w:rsidRPr="00471E56">
        <w:rPr>
          <w:rFonts w:ascii="Times New Roman" w:eastAsia="Times New Roman" w:hAnsi="Times New Roman" w:cs="Times New Roman"/>
          <w:sz w:val="24"/>
          <w:szCs w:val="24"/>
          <w:lang w:eastAsia="ar-SA"/>
        </w:rPr>
        <w:t>*год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1"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6D"/>
    <w:rsid w:val="00031875"/>
    <w:rsid w:val="001E1959"/>
    <w:rsid w:val="0040483C"/>
    <w:rsid w:val="00471E56"/>
    <w:rsid w:val="004834F4"/>
    <w:rsid w:val="00831D3F"/>
    <w:rsid w:val="009714D3"/>
    <w:rsid w:val="00A17568"/>
    <w:rsid w:val="00BA5AF3"/>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6DB2"/>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qFormat/>
    <w:rsid w:val="00BA5AF3"/>
    <w:pPr>
      <w:spacing w:after="0" w:line="240" w:lineRule="auto"/>
    </w:pPr>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3403</Words>
  <Characters>1940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2</cp:revision>
  <dcterms:created xsi:type="dcterms:W3CDTF">2023-12-14T09:46:00Z</dcterms:created>
  <dcterms:modified xsi:type="dcterms:W3CDTF">2023-12-14T09:46:00Z</dcterms:modified>
</cp:coreProperties>
</file>