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8A" w:rsidRDefault="00811E8A" w:rsidP="00811E8A">
      <w:pPr>
        <w:tabs>
          <w:tab w:val="left" w:pos="1134"/>
        </w:tabs>
        <w:spacing w:after="0" w:line="240" w:lineRule="auto"/>
        <w:ind w:left="567" w:right="474"/>
        <w:jc w:val="right"/>
        <w:rPr>
          <w:color w:val="00000A"/>
          <w:sz w:val="24"/>
          <w:szCs w:val="24"/>
          <w:lang w:val="uk-UA" w:eastAsia="uk-UA"/>
        </w:rPr>
      </w:pPr>
      <w:r>
        <w:rPr>
          <w:color w:val="00000A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Додаток 1 до Оголошення про спрощену закупівлю</w:t>
      </w:r>
    </w:p>
    <w:p w:rsidR="00811E8A" w:rsidRDefault="00811E8A" w:rsidP="00811E8A">
      <w:pPr>
        <w:tabs>
          <w:tab w:val="left" w:pos="1134"/>
        </w:tabs>
        <w:spacing w:after="0" w:line="240" w:lineRule="auto"/>
        <w:ind w:left="567" w:right="474"/>
        <w:jc w:val="center"/>
        <w:rPr>
          <w:b/>
          <w:bCs/>
          <w:color w:val="00000A"/>
          <w:sz w:val="24"/>
          <w:szCs w:val="24"/>
          <w:lang w:val="uk-UA" w:eastAsia="uk-UA"/>
        </w:rPr>
      </w:pPr>
    </w:p>
    <w:p w:rsidR="00811E8A" w:rsidRDefault="00811E8A" w:rsidP="00811E8A">
      <w:pPr>
        <w:tabs>
          <w:tab w:val="left" w:pos="1134"/>
        </w:tabs>
        <w:spacing w:after="0" w:line="240" w:lineRule="auto"/>
        <w:ind w:left="567" w:right="474"/>
        <w:jc w:val="center"/>
        <w:rPr>
          <w:b/>
          <w:bCs/>
          <w:color w:val="00000A"/>
          <w:sz w:val="24"/>
          <w:szCs w:val="24"/>
          <w:lang w:val="uk-UA" w:eastAsia="uk-UA"/>
        </w:rPr>
      </w:pPr>
    </w:p>
    <w:p w:rsidR="00811E8A" w:rsidRDefault="00811E8A" w:rsidP="00811E8A">
      <w:pPr>
        <w:tabs>
          <w:tab w:val="left" w:pos="1134"/>
        </w:tabs>
        <w:spacing w:after="0" w:line="240" w:lineRule="auto"/>
        <w:ind w:left="567" w:right="474"/>
        <w:jc w:val="center"/>
        <w:rPr>
          <w:b/>
          <w:bCs/>
          <w:color w:val="00000A"/>
          <w:sz w:val="24"/>
          <w:szCs w:val="24"/>
          <w:lang w:val="uk-UA" w:eastAsia="uk-UA"/>
        </w:rPr>
      </w:pPr>
      <w:r>
        <w:rPr>
          <w:b/>
          <w:bCs/>
          <w:color w:val="00000A"/>
          <w:sz w:val="24"/>
          <w:szCs w:val="24"/>
          <w:lang w:val="uk-UA" w:eastAsia="uk-UA"/>
        </w:rPr>
        <w:t>Т</w:t>
      </w:r>
      <w:r w:rsidRPr="00811E8A">
        <w:rPr>
          <w:b/>
          <w:bCs/>
          <w:color w:val="00000A"/>
          <w:sz w:val="24"/>
          <w:szCs w:val="24"/>
          <w:lang w:val="uk-UA" w:eastAsia="uk-UA"/>
        </w:rPr>
        <w:t>ехнічне завдання та вимоги до предмету закупівлі</w:t>
      </w:r>
    </w:p>
    <w:p w:rsidR="00AF0FF5" w:rsidRDefault="00AF0FF5" w:rsidP="00811E8A">
      <w:pPr>
        <w:tabs>
          <w:tab w:val="left" w:pos="1134"/>
        </w:tabs>
        <w:spacing w:after="0" w:line="240" w:lineRule="auto"/>
        <w:ind w:left="567" w:right="474"/>
        <w:jc w:val="center"/>
        <w:rPr>
          <w:b/>
          <w:bCs/>
          <w:color w:val="00000A"/>
          <w:sz w:val="24"/>
          <w:szCs w:val="24"/>
          <w:lang w:val="uk-UA" w:eastAsia="uk-UA"/>
        </w:rPr>
      </w:pPr>
      <w:r w:rsidRPr="00AF0FF5">
        <w:rPr>
          <w:b/>
          <w:bCs/>
          <w:color w:val="00000A"/>
          <w:sz w:val="24"/>
          <w:szCs w:val="24"/>
          <w:lang w:val="uk-UA" w:eastAsia="uk-UA"/>
        </w:rPr>
        <w:t>ДК 021:2015 - 45310000-3 Електромонтажні роботи (Капітальний ремонт мережі зовнішнього електропостачання КНП ЛОР «ЛОШВД», за адресою: м. Львів, вул. Коновальця, 5)</w:t>
      </w:r>
    </w:p>
    <w:p w:rsidR="00811E8A" w:rsidRPr="009B5C17" w:rsidRDefault="00811E8A" w:rsidP="00AE4078">
      <w:pPr>
        <w:tabs>
          <w:tab w:val="left" w:pos="1134"/>
        </w:tabs>
        <w:spacing w:after="0" w:line="240" w:lineRule="auto"/>
        <w:ind w:left="567" w:right="474"/>
        <w:jc w:val="both"/>
        <w:rPr>
          <w:color w:val="00000A"/>
          <w:sz w:val="24"/>
          <w:szCs w:val="24"/>
          <w:lang w:val="uk-UA" w:eastAsia="uk-UA"/>
        </w:rPr>
      </w:pPr>
      <w:r>
        <w:rPr>
          <w:b/>
          <w:bCs/>
          <w:color w:val="00000A"/>
          <w:sz w:val="24"/>
          <w:szCs w:val="24"/>
          <w:lang w:val="uk-UA" w:eastAsia="uk-UA"/>
        </w:rPr>
        <w:t xml:space="preserve"> </w:t>
      </w:r>
      <w:r>
        <w:rPr>
          <w:color w:val="00000A"/>
          <w:sz w:val="24"/>
          <w:szCs w:val="24"/>
          <w:lang w:val="uk-UA" w:eastAsia="uk-UA"/>
        </w:rPr>
        <w:t xml:space="preserve">         </w:t>
      </w:r>
      <w:r w:rsidRPr="00706F49">
        <w:rPr>
          <w:color w:val="00000A"/>
          <w:sz w:val="24"/>
          <w:szCs w:val="24"/>
          <w:lang w:val="uk-UA" w:eastAsia="uk-UA"/>
        </w:rPr>
        <w:t>Виконавець при виконанні робіт, що є предметом закупівлі не завдаватиме шкоди навколишньому середовищу та передбачатиме заходи щодо захисту довкілля. Виконавець зобов'язаний виконати роботи</w:t>
      </w:r>
      <w:r w:rsidR="00CD2C2E" w:rsidRPr="00706F49">
        <w:rPr>
          <w:color w:val="00000A"/>
          <w:sz w:val="24"/>
          <w:szCs w:val="24"/>
          <w:lang w:val="uk-UA" w:eastAsia="uk-UA"/>
        </w:rPr>
        <w:t xml:space="preserve"> самостійно</w:t>
      </w:r>
      <w:r w:rsidRPr="00706F49">
        <w:rPr>
          <w:color w:val="00000A"/>
          <w:sz w:val="24"/>
          <w:szCs w:val="24"/>
          <w:lang w:val="uk-UA" w:eastAsia="uk-UA"/>
        </w:rPr>
        <w:t>, якість</w:t>
      </w:r>
      <w:r w:rsidR="00CD2C2E" w:rsidRPr="00706F49">
        <w:rPr>
          <w:color w:val="00000A"/>
          <w:sz w:val="24"/>
          <w:szCs w:val="24"/>
          <w:lang w:val="uk-UA" w:eastAsia="uk-UA"/>
        </w:rPr>
        <w:t xml:space="preserve"> яких</w:t>
      </w:r>
      <w:r w:rsidRPr="00706F49">
        <w:rPr>
          <w:color w:val="00000A"/>
          <w:sz w:val="24"/>
          <w:szCs w:val="24"/>
          <w:lang w:val="uk-UA" w:eastAsia="uk-UA"/>
        </w:rPr>
        <w:t xml:space="preserve"> повинна відповідати правилам ДСТУ та іншим нормативно-правовим актам, з урахуванням вимог Цивільного кодексу України та </w:t>
      </w:r>
      <w:r w:rsidR="00A36C09" w:rsidRPr="00706F49">
        <w:rPr>
          <w:color w:val="00000A"/>
          <w:sz w:val="24"/>
          <w:szCs w:val="24"/>
          <w:lang w:val="uk-UA" w:eastAsia="uk-UA"/>
        </w:rPr>
        <w:t>Господарського кодексу України (надати гарантійний лист у складі пропозиції).</w:t>
      </w:r>
    </w:p>
    <w:p w:rsidR="00811E8A" w:rsidRPr="009B5C17" w:rsidRDefault="00811E8A" w:rsidP="00AE4078">
      <w:pPr>
        <w:tabs>
          <w:tab w:val="left" w:pos="1134"/>
        </w:tabs>
        <w:spacing w:after="0" w:line="240" w:lineRule="auto"/>
        <w:ind w:left="567" w:right="474" w:hanging="567"/>
        <w:jc w:val="both"/>
        <w:rPr>
          <w:color w:val="00000A"/>
          <w:sz w:val="24"/>
          <w:szCs w:val="24"/>
          <w:lang w:val="uk-UA" w:eastAsia="uk-UA"/>
        </w:rPr>
      </w:pPr>
      <w:r w:rsidRPr="009B5C17">
        <w:rPr>
          <w:color w:val="00000A"/>
          <w:sz w:val="24"/>
          <w:szCs w:val="24"/>
          <w:lang w:val="uk-UA" w:eastAsia="uk-UA"/>
        </w:rPr>
        <w:t xml:space="preserve">        </w:t>
      </w:r>
      <w:r w:rsidR="00AE4078">
        <w:rPr>
          <w:color w:val="00000A"/>
          <w:sz w:val="24"/>
          <w:szCs w:val="24"/>
          <w:lang w:val="uk-UA" w:eastAsia="uk-UA"/>
        </w:rPr>
        <w:t xml:space="preserve">         </w:t>
      </w:r>
      <w:r w:rsidRPr="009B5C17">
        <w:rPr>
          <w:color w:val="00000A"/>
          <w:sz w:val="24"/>
          <w:szCs w:val="24"/>
          <w:lang w:val="uk-UA" w:eastAsia="uk-UA"/>
        </w:rPr>
        <w:t xml:space="preserve"> Виконавець несе відповідальність за наявність ліцензій, необхідних для виконання робіт, визначених нормативними документами. Виконавець робіт несе відповідальність за поведінку своїх працівників під час виконання робіт, дотримання ними правил техніки безпеки; вимог Закону України «Про охорону праці» та діючих нормативно-правових актів з охорони праці; вимог і нормативів екологічної безпеки; правил пожежної безпеки; правил безпеки руху; санітарно-гігієнічних норм; правил електробезпеки; тощо. Виконавець робіт несе матеріальну відповідальність за збереження товарно - матеріальних цінностей, їх пошкодження та знищення при виконанні робіт. </w:t>
      </w:r>
      <w:r w:rsidRPr="00706F49">
        <w:rPr>
          <w:color w:val="00000A"/>
          <w:sz w:val="24"/>
          <w:szCs w:val="24"/>
          <w:lang w:val="uk-UA" w:eastAsia="uk-UA"/>
        </w:rPr>
        <w:t xml:space="preserve">Ризик випадкових пошкоджень або знищення матеріалів, устаткування механізмів, іншого майна в період виконання </w:t>
      </w:r>
      <w:r w:rsidR="00A36C09" w:rsidRPr="00706F49">
        <w:rPr>
          <w:color w:val="00000A"/>
          <w:sz w:val="24"/>
          <w:szCs w:val="24"/>
          <w:lang w:val="uk-UA" w:eastAsia="uk-UA"/>
        </w:rPr>
        <w:t>робіт покладається на Виконавця (надати гарантійний лист у складі пропозиції).</w:t>
      </w:r>
      <w:r w:rsidRPr="009B5C17">
        <w:rPr>
          <w:color w:val="00000A"/>
          <w:sz w:val="24"/>
          <w:szCs w:val="24"/>
          <w:lang w:val="uk-UA" w:eastAsia="uk-UA"/>
        </w:rPr>
        <w:t xml:space="preserve"> Придбання всіх матеріальних ресурсів, конструкцій та виробів, необхідних для виконання робіт, передбачених технічним завданням, покладається на Виконавця. Вартість всіх матеріальних ресурсів, які використовуються для виконання робіт</w:t>
      </w:r>
      <w:r w:rsidR="00A36C09">
        <w:rPr>
          <w:color w:val="00000A"/>
          <w:sz w:val="24"/>
          <w:szCs w:val="24"/>
          <w:lang w:val="uk-UA" w:eastAsia="uk-UA"/>
        </w:rPr>
        <w:t xml:space="preserve">, їх доставка до місця виконання робіт, навантаження/розвантаження, </w:t>
      </w:r>
      <w:r w:rsidRPr="009B5C17">
        <w:rPr>
          <w:color w:val="00000A"/>
          <w:sz w:val="24"/>
          <w:szCs w:val="24"/>
          <w:lang w:val="uk-UA" w:eastAsia="uk-UA"/>
        </w:rPr>
        <w:t>враховується в договірній ціні.</w:t>
      </w:r>
    </w:p>
    <w:p w:rsidR="00811E8A" w:rsidRPr="009B5C17" w:rsidRDefault="00811E8A" w:rsidP="00811E8A">
      <w:pPr>
        <w:tabs>
          <w:tab w:val="left" w:pos="1134"/>
        </w:tabs>
        <w:spacing w:after="0" w:line="240" w:lineRule="auto"/>
        <w:ind w:left="567" w:right="474" w:hanging="567"/>
        <w:jc w:val="both"/>
        <w:rPr>
          <w:color w:val="00000A"/>
          <w:sz w:val="24"/>
          <w:szCs w:val="24"/>
          <w:lang w:val="uk-UA" w:eastAsia="uk-UA"/>
        </w:rPr>
      </w:pPr>
      <w:r w:rsidRPr="009B5C17">
        <w:rPr>
          <w:color w:val="00000A"/>
          <w:sz w:val="24"/>
          <w:szCs w:val="24"/>
          <w:lang w:val="uk-UA" w:eastAsia="uk-UA"/>
        </w:rPr>
        <w:t xml:space="preserve">    </w:t>
      </w:r>
      <w:r>
        <w:rPr>
          <w:color w:val="00000A"/>
          <w:sz w:val="24"/>
          <w:szCs w:val="24"/>
          <w:lang w:val="uk-UA" w:eastAsia="uk-UA"/>
        </w:rPr>
        <w:t xml:space="preserve">                 У</w:t>
      </w:r>
      <w:r w:rsidRPr="009B5C17">
        <w:rPr>
          <w:color w:val="00000A"/>
          <w:sz w:val="24"/>
          <w:szCs w:val="24"/>
          <w:lang w:val="uk-UA" w:eastAsia="uk-UA"/>
        </w:rPr>
        <w:t xml:space="preserve"> суму закупівлі входить вартість усіх робіт, які необхідні для належного виконання договору обсягу робіт, матеріалів та устаткування, доставка матеріалів, установка та монтаж, демонтаж, вивіз сміття, розрахунок/замір необхідних робіт, всі витрати на транспортування, страхування та інші витрати, сплату податків і зборів тощо.</w:t>
      </w:r>
    </w:p>
    <w:p w:rsidR="00811E8A" w:rsidRPr="009B5C17" w:rsidRDefault="00811E8A" w:rsidP="00811E8A">
      <w:pPr>
        <w:tabs>
          <w:tab w:val="left" w:pos="1134"/>
        </w:tabs>
        <w:spacing w:after="0" w:line="240" w:lineRule="auto"/>
        <w:ind w:left="567" w:right="474" w:hanging="567"/>
        <w:jc w:val="both"/>
        <w:rPr>
          <w:color w:val="000000"/>
          <w:sz w:val="24"/>
          <w:szCs w:val="24"/>
          <w:lang w:val="uk-UA" w:eastAsia="uk-UA"/>
        </w:rPr>
      </w:pPr>
      <w:r w:rsidRPr="009B5C17">
        <w:rPr>
          <w:color w:val="00000A"/>
          <w:sz w:val="24"/>
          <w:szCs w:val="24"/>
          <w:lang w:val="uk-UA" w:eastAsia="uk-UA"/>
        </w:rPr>
        <w:t xml:space="preserve">      </w:t>
      </w:r>
      <w:r>
        <w:rPr>
          <w:color w:val="00000A"/>
          <w:sz w:val="24"/>
          <w:szCs w:val="24"/>
          <w:lang w:val="uk-UA" w:eastAsia="uk-UA"/>
        </w:rPr>
        <w:t xml:space="preserve">             </w:t>
      </w:r>
      <w:r w:rsidRPr="00706F49">
        <w:rPr>
          <w:color w:val="00000A"/>
          <w:sz w:val="24"/>
          <w:szCs w:val="24"/>
          <w:lang w:val="uk-UA" w:eastAsia="uk-UA"/>
        </w:rPr>
        <w:t>Гарантійний термін виконаних</w:t>
      </w:r>
      <w:r w:rsidRPr="00706F49">
        <w:rPr>
          <w:color w:val="000000"/>
          <w:sz w:val="24"/>
          <w:szCs w:val="24"/>
          <w:lang w:val="uk-UA" w:eastAsia="uk-UA"/>
        </w:rPr>
        <w:t xml:space="preserve"> учасником робіт</w:t>
      </w:r>
      <w:r w:rsidR="0012005A" w:rsidRPr="00706F49">
        <w:rPr>
          <w:color w:val="000000"/>
          <w:sz w:val="24"/>
          <w:szCs w:val="24"/>
          <w:lang w:val="uk-UA" w:eastAsia="uk-UA"/>
        </w:rPr>
        <w:t xml:space="preserve"> </w:t>
      </w:r>
      <w:r w:rsidR="0007573C" w:rsidRPr="00706F49">
        <w:rPr>
          <w:color w:val="000000"/>
          <w:sz w:val="24"/>
          <w:szCs w:val="24"/>
          <w:lang w:val="uk-UA" w:eastAsia="uk-UA"/>
        </w:rPr>
        <w:t>– 1 рік</w:t>
      </w:r>
      <w:r w:rsidRPr="00706F49">
        <w:rPr>
          <w:color w:val="000000"/>
          <w:sz w:val="24"/>
          <w:szCs w:val="24"/>
          <w:lang w:val="uk-UA" w:eastAsia="uk-UA"/>
        </w:rPr>
        <w:t xml:space="preserve"> з моменту прийняття замовником  цих робіт</w:t>
      </w:r>
      <w:r w:rsidR="00A36C09" w:rsidRPr="00706F49">
        <w:rPr>
          <w:color w:val="000000"/>
          <w:sz w:val="24"/>
          <w:szCs w:val="24"/>
          <w:lang w:val="uk-UA" w:eastAsia="uk-UA"/>
        </w:rPr>
        <w:t xml:space="preserve"> </w:t>
      </w:r>
      <w:r w:rsidR="00A36C09" w:rsidRPr="00706F49">
        <w:rPr>
          <w:color w:val="00000A"/>
          <w:sz w:val="24"/>
          <w:szCs w:val="24"/>
          <w:lang w:val="uk-UA" w:eastAsia="uk-UA"/>
        </w:rPr>
        <w:t>(надати гарантійний лист у складі пропозиції</w:t>
      </w:r>
      <w:r w:rsidR="0012005A" w:rsidRPr="00706F49">
        <w:rPr>
          <w:color w:val="00000A"/>
          <w:sz w:val="24"/>
          <w:szCs w:val="24"/>
          <w:lang w:val="uk-UA" w:eastAsia="uk-UA"/>
        </w:rPr>
        <w:t>)</w:t>
      </w:r>
      <w:r w:rsidR="0012005A">
        <w:rPr>
          <w:color w:val="00000A"/>
          <w:sz w:val="24"/>
          <w:szCs w:val="24"/>
          <w:lang w:val="uk-UA" w:eastAsia="uk-UA"/>
        </w:rPr>
        <w:t>.</w:t>
      </w:r>
    </w:p>
    <w:p w:rsidR="0007573C" w:rsidRDefault="0007573C" w:rsidP="0007573C">
      <w:pPr>
        <w:spacing w:after="0"/>
        <w:ind w:left="567" w:right="474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 w:rsidR="00E84ECA" w:rsidRPr="00E84ECA">
        <w:rPr>
          <w:sz w:val="24"/>
          <w:szCs w:val="24"/>
          <w:lang w:val="uk-UA"/>
        </w:rPr>
        <w:t xml:space="preserve"> </w:t>
      </w:r>
      <w:r w:rsidR="00E84ECA" w:rsidRPr="00706F49">
        <w:rPr>
          <w:sz w:val="24"/>
          <w:szCs w:val="24"/>
          <w:lang w:val="uk-UA"/>
        </w:rPr>
        <w:t>З метою перевірки відповідності фактичних обсягів робіт, учасник повинен здійснити обстеження об’єкта. За результатами обстеження складається акт, за участю уповноважених представників замовника та учасника, підписаний в період уточнення. Акт подається учасником у складі пропозиції</w:t>
      </w:r>
      <w:r w:rsidRPr="00706F49">
        <w:rPr>
          <w:sz w:val="24"/>
          <w:szCs w:val="24"/>
          <w:lang w:val="uk-UA"/>
        </w:rPr>
        <w:t>.</w:t>
      </w:r>
    </w:p>
    <w:p w:rsidR="00E84ECA" w:rsidRPr="00E84ECA" w:rsidRDefault="0007573C" w:rsidP="0007573C">
      <w:pPr>
        <w:spacing w:after="0"/>
        <w:ind w:left="567" w:right="474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="00E84ECA" w:rsidRPr="00E84ECA">
        <w:rPr>
          <w:sz w:val="24"/>
          <w:szCs w:val="24"/>
          <w:lang w:val="uk-UA"/>
        </w:rPr>
        <w:t xml:space="preserve"> </w:t>
      </w:r>
    </w:p>
    <w:p w:rsidR="003B1617" w:rsidRPr="0007573C" w:rsidRDefault="003B1617" w:rsidP="00EF6C08">
      <w:pPr>
        <w:spacing w:after="0"/>
        <w:ind w:left="567" w:right="474" w:hanging="567"/>
        <w:jc w:val="center"/>
        <w:rPr>
          <w:b/>
          <w:sz w:val="24"/>
          <w:szCs w:val="24"/>
          <w:lang w:val="uk-UA"/>
        </w:rPr>
      </w:pPr>
      <w:r w:rsidRPr="0007573C">
        <w:rPr>
          <w:b/>
          <w:sz w:val="24"/>
          <w:szCs w:val="24"/>
          <w:lang w:val="uk-UA"/>
        </w:rPr>
        <w:t>Дефектний акт</w:t>
      </w:r>
    </w:p>
    <w:p w:rsidR="00EF6C08" w:rsidRDefault="00EF6C08" w:rsidP="00EF6C08">
      <w:pPr>
        <w:spacing w:after="0"/>
        <w:ind w:right="474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об’єм робіт:</w:t>
      </w:r>
    </w:p>
    <w:p w:rsidR="0007306C" w:rsidRPr="0007306C" w:rsidRDefault="0007306C" w:rsidP="0007306C">
      <w:pPr>
        <w:spacing w:after="0" w:line="240" w:lineRule="auto"/>
        <w:ind w:left="-1418" w:right="-1177"/>
        <w:jc w:val="both"/>
        <w:rPr>
          <w:sz w:val="24"/>
          <w:szCs w:val="24"/>
          <w:lang w:val="uk-UA" w:eastAsia="uk-UA"/>
        </w:rPr>
      </w:pPr>
    </w:p>
    <w:tbl>
      <w:tblPr>
        <w:tblW w:w="9779" w:type="dxa"/>
        <w:tblInd w:w="113" w:type="dxa"/>
        <w:tblLook w:val="04A0" w:firstRow="1" w:lastRow="0" w:firstColumn="1" w:lastColumn="0" w:noHBand="0" w:noVBand="1"/>
      </w:tblPr>
      <w:tblGrid>
        <w:gridCol w:w="548"/>
        <w:gridCol w:w="7070"/>
        <w:gridCol w:w="1064"/>
        <w:gridCol w:w="1097"/>
      </w:tblGrid>
      <w:tr w:rsidR="00525E8C" w:rsidRPr="00525E8C" w:rsidTr="00525E8C">
        <w:trPr>
          <w:trHeight w:val="41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№ </w:t>
            </w:r>
            <w:proofErr w:type="spellStart"/>
            <w:r w:rsidRPr="00525E8C">
              <w:rPr>
                <w:color w:val="000000"/>
                <w:lang w:val="uk-UA" w:eastAsia="uk-UA"/>
              </w:rPr>
              <w:t>ч.ч</w:t>
            </w:r>
            <w:proofErr w:type="spellEnd"/>
            <w:r w:rsidRPr="00525E8C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7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Найменування робіт і витрат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Кількість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4</w:t>
            </w:r>
          </w:p>
        </w:tc>
      </w:tr>
      <w:tr w:rsidR="00525E8C" w:rsidRPr="00525E8C" w:rsidTr="00525E8C">
        <w:trPr>
          <w:trHeight w:val="651"/>
        </w:trPr>
        <w:tc>
          <w:tcPr>
            <w:tcW w:w="5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525E8C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b/>
                <w:bCs/>
                <w:color w:val="000000"/>
                <w:lang w:val="uk-UA" w:eastAsia="uk-UA"/>
              </w:rPr>
            </w:pPr>
            <w:r w:rsidRPr="00525E8C">
              <w:rPr>
                <w:b/>
                <w:bCs/>
                <w:color w:val="000000"/>
                <w:lang w:val="uk-UA" w:eastAsia="uk-UA"/>
              </w:rPr>
              <w:t xml:space="preserve">02-01 Капітальний ремонт мережі зовнішнього електропостачання шкірно-венеричного диспансеру Комунальне некомерційне </w:t>
            </w:r>
            <w:proofErr w:type="spellStart"/>
            <w:r w:rsidRPr="00525E8C">
              <w:rPr>
                <w:b/>
                <w:bCs/>
                <w:color w:val="000000"/>
                <w:lang w:val="uk-UA" w:eastAsia="uk-UA"/>
              </w:rPr>
              <w:t>підприємтсво</w:t>
            </w:r>
            <w:proofErr w:type="spellEnd"/>
            <w:r w:rsidRPr="00525E8C">
              <w:rPr>
                <w:b/>
                <w:bCs/>
                <w:color w:val="000000"/>
                <w:lang w:val="uk-UA" w:eastAsia="uk-UA"/>
              </w:rPr>
              <w:t xml:space="preserve"> Львівської обласної ради “Львівський обласний шкірно-венерологічний диспансер”,  за адресою: м. Львів, вул. Коновальця Є., 5</w:t>
            </w:r>
            <w:r w:rsidRPr="00525E8C">
              <w:rPr>
                <w:b/>
                <w:bCs/>
                <w:color w:val="000000"/>
                <w:lang w:val="uk-UA" w:eastAsia="uk-UA"/>
              </w:rPr>
              <w:br/>
              <w:t xml:space="preserve"> </w:t>
            </w:r>
          </w:p>
        </w:tc>
      </w:tr>
      <w:tr w:rsidR="00525E8C" w:rsidRPr="00525E8C" w:rsidTr="00525E8C">
        <w:trPr>
          <w:trHeight w:val="216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525E8C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b/>
                <w:bCs/>
                <w:color w:val="000000"/>
                <w:lang w:val="uk-UA" w:eastAsia="uk-UA"/>
              </w:rPr>
            </w:pPr>
            <w:r w:rsidRPr="00525E8C">
              <w:rPr>
                <w:b/>
                <w:bCs/>
                <w:color w:val="000000"/>
                <w:lang w:val="uk-UA" w:eastAsia="uk-UA"/>
              </w:rPr>
              <w:t>Будівельні роботи</w:t>
            </w:r>
          </w:p>
        </w:tc>
      </w:tr>
      <w:tr w:rsidR="00525E8C" w:rsidRPr="00525E8C" w:rsidTr="00525E8C">
        <w:trPr>
          <w:trHeight w:val="418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lastRenderedPageBreak/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Демонтаж (К = 0,40). Монтаж пристрою та підключення кабелів або проводів зовнішньої мережі до апаратів та приладів ввідного пристрою ВОП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пристрiй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</w:tr>
      <w:tr w:rsidR="00525E8C" w:rsidRPr="00525E8C" w:rsidTr="00525E8C">
        <w:trPr>
          <w:trHeight w:val="418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Демонтаж (К = 0,40). Монтаж шафи та підключення кабелів або проводів зовнішньої мережі до апаратів та приладів розподільної шафи 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пристрiй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Влаштування ніш в цегляних стінах 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10м2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0,009</w:t>
            </w:r>
          </w:p>
        </w:tc>
      </w:tr>
      <w:tr w:rsidR="00525E8C" w:rsidRPr="00525E8C" w:rsidTr="00525E8C">
        <w:trPr>
          <w:trHeight w:val="418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Монтаж пристрою та підключення кабелів або проводів зовнішньої мережі до апаратів та приладів ввідного пристрою ВОП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пристрiй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</w:tr>
      <w:tr w:rsidR="00525E8C" w:rsidRPr="00525E8C" w:rsidTr="00525E8C">
        <w:trPr>
          <w:trHeight w:val="418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Монтаж пристрою та підключення кабелів або проводів зовнішньої мережі до апаратів та приладів ввідно-розподільного пристрою ВРП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пристрiй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Монтаж шафи та підключення кабелів або проводів зовнішньої мережі до апаратів та приладів розподільної шафи 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пристрiй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Установка комплектна конденсаторна на установлених конструкціях 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шафа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Лічильник трифазний, що установлюється на готовій основі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Лоток по установлених конструкціях, ширина лотка до 200 мм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100 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0,2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Лоток перфорований 100х100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20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Кришка лотка 100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20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Провід, що прокладається у лотках, сумарний переріз до 70 мм2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100 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0,2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Провід, що прокладається по сталевих конструкціях і панелях, переріз до 70 мм2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100 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0,1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Кабель </w:t>
            </w:r>
            <w:proofErr w:type="spellStart"/>
            <w:r w:rsidRPr="00525E8C">
              <w:rPr>
                <w:color w:val="000000"/>
                <w:lang w:val="uk-UA" w:eastAsia="uk-UA"/>
              </w:rPr>
              <w:t>ВВГнг</w:t>
            </w:r>
            <w:proofErr w:type="spellEnd"/>
            <w:r w:rsidRPr="00525E8C">
              <w:rPr>
                <w:color w:val="000000"/>
                <w:lang w:val="uk-UA" w:eastAsia="uk-UA"/>
              </w:rPr>
              <w:t xml:space="preserve"> 4х70 мм2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1000м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0,03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Провід </w:t>
            </w:r>
            <w:proofErr w:type="spellStart"/>
            <w:r w:rsidRPr="00525E8C">
              <w:rPr>
                <w:color w:val="000000"/>
                <w:lang w:val="uk-UA" w:eastAsia="uk-UA"/>
              </w:rPr>
              <w:t>дво-</w:t>
            </w:r>
            <w:proofErr w:type="spellEnd"/>
            <w:r w:rsidRPr="00525E8C">
              <w:rPr>
                <w:color w:val="000000"/>
                <w:lang w:val="uk-UA" w:eastAsia="uk-UA"/>
              </w:rPr>
              <w:t>, чотирижильний перерізом жили до 16 мм2, що прокладається з кріпленням накладними скобами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100 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0,4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Проводи силові з </w:t>
            </w:r>
            <w:proofErr w:type="spellStart"/>
            <w:r w:rsidRPr="00525E8C">
              <w:rPr>
                <w:color w:val="000000"/>
                <w:lang w:val="uk-UA" w:eastAsia="uk-UA"/>
              </w:rPr>
              <w:t>полівінілхлоридною</w:t>
            </w:r>
            <w:proofErr w:type="spellEnd"/>
            <w:r w:rsidRPr="00525E8C">
              <w:rPr>
                <w:color w:val="000000"/>
                <w:lang w:val="uk-UA" w:eastAsia="uk-UA"/>
              </w:rPr>
              <w:t xml:space="preserve"> ізоляцією з мідною жилою підвищеної гнучкості, марка ПВЗ, переріз 16 мм2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1000м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0,04</w:t>
            </w:r>
          </w:p>
        </w:tc>
      </w:tr>
      <w:tr w:rsidR="00525E8C" w:rsidRPr="00525E8C" w:rsidTr="00525E8C">
        <w:trPr>
          <w:trHeight w:val="418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16 мм2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100 жил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0,06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Кабельний наконечник мідь 16 луджений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6</w:t>
            </w:r>
          </w:p>
        </w:tc>
      </w:tr>
      <w:tr w:rsidR="00525E8C" w:rsidRPr="00525E8C" w:rsidTr="00525E8C">
        <w:trPr>
          <w:trHeight w:val="418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70 мм2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100 жил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0,16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Кабельний наконечник мідь 70 луджений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16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Заземлювач вертикальний 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10 </w:t>
            </w:r>
            <w:proofErr w:type="spellStart"/>
            <w:r w:rsidRPr="00525E8C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1,2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Шпилька заземлення д=20мм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12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Заземлювач горизонтальний 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100 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0,24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Полоса 30х4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м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24</w:t>
            </w:r>
          </w:p>
        </w:tc>
      </w:tr>
      <w:tr w:rsidR="00525E8C" w:rsidRPr="00525E8C" w:rsidTr="00525E8C">
        <w:trPr>
          <w:trHeight w:val="216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525E8C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2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7E2781" w:rsidP="007E2781">
            <w:pPr>
              <w:spacing w:after="0" w:line="240" w:lineRule="auto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у</w:t>
            </w:r>
            <w:r w:rsidR="00525E8C" w:rsidRPr="00525E8C">
              <w:rPr>
                <w:b/>
                <w:bCs/>
                <w:color w:val="000000"/>
                <w:lang w:val="uk-UA" w:eastAsia="uk-UA"/>
              </w:rPr>
              <w:t xml:space="preserve">статкування, меблі </w:t>
            </w:r>
            <w:r>
              <w:rPr>
                <w:b/>
                <w:bCs/>
                <w:color w:val="000000"/>
                <w:lang w:val="uk-UA" w:eastAsia="uk-UA"/>
              </w:rPr>
              <w:t>та інвентар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Пристрій ВОП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Пристрій ВРП+ККУ-15кВАр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Пристрій РЩ 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707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E8C" w:rsidRPr="00525E8C" w:rsidRDefault="00525E8C" w:rsidP="00525E8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 xml:space="preserve">Лічильник MTХ3G20 DD 3M1 DОG4 </w:t>
            </w:r>
          </w:p>
        </w:tc>
        <w:tc>
          <w:tcPr>
            <w:tcW w:w="1064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proofErr w:type="spellStart"/>
            <w:r w:rsidRPr="00525E8C"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  <w:tc>
          <w:tcPr>
            <w:tcW w:w="109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E8C" w:rsidRPr="00525E8C" w:rsidRDefault="00525E8C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 w:rsidRPr="00525E8C">
              <w:rPr>
                <w:color w:val="000000"/>
                <w:lang w:val="uk-UA" w:eastAsia="uk-UA"/>
              </w:rPr>
              <w:t>1</w:t>
            </w:r>
          </w:p>
        </w:tc>
      </w:tr>
      <w:tr w:rsidR="00525E8C" w:rsidRPr="00525E8C" w:rsidTr="00525E8C">
        <w:trPr>
          <w:trHeight w:val="213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E8C" w:rsidRPr="008E1987" w:rsidRDefault="008E1987" w:rsidP="008E1987">
            <w:pPr>
              <w:spacing w:after="0" w:line="240" w:lineRule="auto"/>
              <w:jc w:val="center"/>
              <w:rPr>
                <w:color w:val="000000"/>
                <w:lang w:val="uk-UA" w:eastAsia="uk-UA"/>
              </w:rPr>
            </w:pPr>
            <w:bookmarkStart w:id="0" w:name="_GoBack"/>
            <w:proofErr w:type="spellStart"/>
            <w:r w:rsidRPr="008E1987">
              <w:rPr>
                <w:b/>
              </w:rPr>
              <w:t>Інш</w:t>
            </w:r>
            <w:proofErr w:type="spellEnd"/>
            <w:r w:rsidRPr="008E1987">
              <w:rPr>
                <w:b/>
                <w:lang w:val="uk-UA"/>
              </w:rPr>
              <w:t>е</w:t>
            </w:r>
          </w:p>
        </w:tc>
      </w:tr>
      <w:tr w:rsidR="00525E8C" w:rsidRPr="00525E8C" w:rsidTr="00525E8C">
        <w:trPr>
          <w:trHeight w:val="213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8C" w:rsidRPr="00525E8C" w:rsidRDefault="00C11E5A" w:rsidP="00525E8C">
            <w:pPr>
              <w:spacing w:after="0" w:line="240" w:lineRule="auto"/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8C" w:rsidRPr="008E1987" w:rsidRDefault="0046026D" w:rsidP="0046026D">
            <w:pPr>
              <w:spacing w:after="0" w:line="240" w:lineRule="auto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риєднання</w:t>
            </w:r>
            <w:proofErr w:type="spellEnd"/>
            <w:r w:rsidR="00525E8C" w:rsidRPr="008E1987">
              <w:t xml:space="preserve"> </w:t>
            </w:r>
            <w:proofErr w:type="spellStart"/>
            <w:r w:rsidR="00525E8C" w:rsidRPr="008E1987">
              <w:t>об’єкта</w:t>
            </w:r>
            <w:proofErr w:type="spellEnd"/>
            <w:r w:rsidR="00525E8C" w:rsidRPr="008E1987">
              <w:t xml:space="preserve"> </w:t>
            </w:r>
            <w:proofErr w:type="spellStart"/>
            <w:r w:rsidR="00525E8C" w:rsidRPr="008E1987">
              <w:t>будівництва</w:t>
            </w:r>
            <w:proofErr w:type="spellEnd"/>
            <w:r w:rsidR="00525E8C" w:rsidRPr="008E1987">
              <w:t xml:space="preserve"> до </w:t>
            </w:r>
            <w:proofErr w:type="spellStart"/>
            <w:r w:rsidR="00525E8C" w:rsidRPr="008E1987">
              <w:t>діючих</w:t>
            </w:r>
            <w:proofErr w:type="spellEnd"/>
            <w:r w:rsidR="00525E8C" w:rsidRPr="008E1987">
              <w:t xml:space="preserve"> </w:t>
            </w:r>
            <w:proofErr w:type="spellStart"/>
            <w:r w:rsidR="00525E8C" w:rsidRPr="008E1987">
              <w:t>інженерних</w:t>
            </w:r>
            <w:proofErr w:type="spellEnd"/>
            <w:r w:rsidR="00525E8C" w:rsidRPr="008E1987">
              <w:t xml:space="preserve"> мереж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8C" w:rsidRPr="002A1DD5" w:rsidRDefault="00C11E5A" w:rsidP="00C11E5A">
            <w:pPr>
              <w:spacing w:after="0" w:line="240" w:lineRule="auto"/>
              <w:jc w:val="center"/>
              <w:rPr>
                <w:color w:val="000000"/>
                <w:highlight w:val="yellow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шт.</w:t>
            </w:r>
            <w:r w:rsidR="0046026D">
              <w:rPr>
                <w:color w:val="000000"/>
                <w:highlight w:val="yellow"/>
                <w:lang w:val="uk-UA" w:eastAsia="uk-UA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8C" w:rsidRPr="002A1DD5" w:rsidRDefault="0046026D" w:rsidP="00525E8C">
            <w:pPr>
              <w:spacing w:after="0" w:line="240" w:lineRule="auto"/>
              <w:jc w:val="right"/>
              <w:rPr>
                <w:color w:val="000000"/>
                <w:highlight w:val="yellow"/>
                <w:lang w:val="uk-UA" w:eastAsia="uk-UA"/>
              </w:rPr>
            </w:pPr>
            <w:r w:rsidRPr="0046026D">
              <w:rPr>
                <w:color w:val="000000"/>
                <w:lang w:val="uk-UA" w:eastAsia="uk-UA"/>
              </w:rPr>
              <w:t>1</w:t>
            </w:r>
          </w:p>
        </w:tc>
      </w:tr>
    </w:tbl>
    <w:p w:rsidR="00AF0FF5" w:rsidRDefault="00AF0FF5" w:rsidP="00EF6C08">
      <w:pPr>
        <w:spacing w:after="0"/>
        <w:ind w:right="474"/>
        <w:rPr>
          <w:bCs/>
          <w:sz w:val="24"/>
          <w:szCs w:val="24"/>
          <w:lang w:val="uk-UA"/>
        </w:rPr>
      </w:pPr>
    </w:p>
    <w:bookmarkEnd w:id="0"/>
    <w:p w:rsidR="0007573C" w:rsidRDefault="00676530" w:rsidP="00676530">
      <w:pPr>
        <w:jc w:val="both"/>
        <w:rPr>
          <w:lang w:val="uk-UA"/>
        </w:rPr>
      </w:pPr>
      <w:r>
        <w:rPr>
          <w:lang w:val="uk-UA"/>
        </w:rPr>
        <w:t>Н</w:t>
      </w:r>
      <w:r w:rsidR="00195564" w:rsidRPr="00195564">
        <w:rPr>
          <w:lang w:val="uk-UA"/>
        </w:rPr>
        <w:t>адати</w:t>
      </w:r>
      <w:r w:rsidRPr="00676530">
        <w:rPr>
          <w:lang w:val="uk-UA"/>
        </w:rPr>
        <w:t xml:space="preserve"> у складі пропозиції</w:t>
      </w:r>
      <w:r w:rsidR="00195564" w:rsidRPr="00195564">
        <w:rPr>
          <w:lang w:val="uk-UA"/>
        </w:rPr>
        <w:t xml:space="preserve"> гарантійний лист </w:t>
      </w:r>
      <w:r w:rsidR="00D64295">
        <w:rPr>
          <w:lang w:val="uk-UA"/>
        </w:rPr>
        <w:t>про виконання робіт згідно дефектного акта.</w:t>
      </w:r>
    </w:p>
    <w:sectPr w:rsidR="00075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6B"/>
    <w:rsid w:val="00022AE0"/>
    <w:rsid w:val="00053C4B"/>
    <w:rsid w:val="0007306C"/>
    <w:rsid w:val="0007573C"/>
    <w:rsid w:val="0009428E"/>
    <w:rsid w:val="00116D64"/>
    <w:rsid w:val="0012005A"/>
    <w:rsid w:val="00195564"/>
    <w:rsid w:val="002A1DD5"/>
    <w:rsid w:val="003B1617"/>
    <w:rsid w:val="0046026D"/>
    <w:rsid w:val="00463096"/>
    <w:rsid w:val="004D3288"/>
    <w:rsid w:val="00525E8C"/>
    <w:rsid w:val="005D7C70"/>
    <w:rsid w:val="006708AD"/>
    <w:rsid w:val="00676530"/>
    <w:rsid w:val="00706F49"/>
    <w:rsid w:val="007E2781"/>
    <w:rsid w:val="00811E8A"/>
    <w:rsid w:val="00885025"/>
    <w:rsid w:val="0089266D"/>
    <w:rsid w:val="008E1987"/>
    <w:rsid w:val="009B5E4D"/>
    <w:rsid w:val="009C455F"/>
    <w:rsid w:val="00A36C09"/>
    <w:rsid w:val="00AE4078"/>
    <w:rsid w:val="00AF0FF5"/>
    <w:rsid w:val="00BD08E8"/>
    <w:rsid w:val="00C11E5A"/>
    <w:rsid w:val="00C26895"/>
    <w:rsid w:val="00C56B8F"/>
    <w:rsid w:val="00CD2C2E"/>
    <w:rsid w:val="00CE20BF"/>
    <w:rsid w:val="00D64295"/>
    <w:rsid w:val="00E84ECA"/>
    <w:rsid w:val="00EF6C08"/>
    <w:rsid w:val="00F5626B"/>
    <w:rsid w:val="00F57A82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077A-88EE-4789-B6A6-C1B3A6A7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3569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2021-11-11T10:09:00Z</dcterms:created>
  <dcterms:modified xsi:type="dcterms:W3CDTF">2022-08-10T10:19:00Z</dcterms:modified>
</cp:coreProperties>
</file>