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4A" w:rsidRDefault="00B25E9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6B4F4A" w:rsidRDefault="00B25E9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B4F4A" w:rsidRDefault="00B25E9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B4F4A" w:rsidRDefault="00B25E9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6B4F4A" w:rsidRDefault="006B4F4A">
      <w:pPr>
        <w:spacing w:after="0" w:line="240" w:lineRule="auto"/>
        <w:ind w:left="885"/>
        <w:jc w:val="center"/>
        <w:rPr>
          <w:rFonts w:ascii="Times New Roman" w:eastAsia="Times New Roman" w:hAnsi="Times New Roman" w:cs="Times New Roman"/>
          <w:b/>
          <w:i/>
          <w:color w:val="4472C4"/>
          <w:sz w:val="20"/>
          <w:szCs w:val="20"/>
        </w:rPr>
      </w:pPr>
    </w:p>
    <w:p w:rsidR="006B4F4A" w:rsidRPr="001053C5" w:rsidRDefault="00B25E94">
      <w:pPr>
        <w:spacing w:after="0" w:line="240" w:lineRule="auto"/>
        <w:ind w:left="885"/>
        <w:jc w:val="center"/>
        <w:rPr>
          <w:rFonts w:ascii="Times New Roman" w:eastAsia="Times New Roman" w:hAnsi="Times New Roman" w:cs="Times New Roman"/>
          <w:sz w:val="20"/>
          <w:szCs w:val="20"/>
        </w:rPr>
      </w:pPr>
      <w:r w:rsidRPr="001053C5">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tbl>
      <w:tblPr>
        <w:tblStyle w:val="af"/>
        <w:tblW w:w="9619" w:type="dxa"/>
        <w:jc w:val="center"/>
        <w:tblInd w:w="0" w:type="dxa"/>
        <w:tblLayout w:type="fixed"/>
        <w:tblLook w:val="0400"/>
      </w:tblPr>
      <w:tblGrid>
        <w:gridCol w:w="490"/>
        <w:gridCol w:w="2273"/>
        <w:gridCol w:w="6856"/>
      </w:tblGrid>
      <w:tr w:rsidR="006B4F4A">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4F4A" w:rsidRDefault="00B25E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4F4A" w:rsidRDefault="00B25E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4F4A" w:rsidRDefault="00B25E94">
            <w:pPr>
              <w:spacing w:before="240" w:after="0" w:line="240" w:lineRule="auto"/>
              <w:jc w:val="center"/>
              <w:rPr>
                <w:rFonts w:ascii="Times New Roman" w:eastAsia="Times New Roman" w:hAnsi="Times New Roman" w:cs="Times New Roman"/>
                <w:sz w:val="20"/>
                <w:szCs w:val="20"/>
              </w:rPr>
            </w:pPr>
            <w:r w:rsidRPr="001053C5">
              <w:rPr>
                <w:rFonts w:ascii="Times New Roman" w:eastAsia="Times New Roman" w:hAnsi="Times New Roman" w:cs="Times New Roman"/>
                <w:b/>
                <w:sz w:val="20"/>
                <w:szCs w:val="20"/>
              </w:rPr>
              <w:t>Документи та інформація, які підтверджують</w:t>
            </w:r>
            <w:r>
              <w:rPr>
                <w:rFonts w:ascii="Times New Roman" w:eastAsia="Times New Roman" w:hAnsi="Times New Roman" w:cs="Times New Roman"/>
                <w:b/>
                <w:color w:val="000000"/>
                <w:sz w:val="20"/>
                <w:szCs w:val="20"/>
              </w:rPr>
              <w:t xml:space="preserve"> відповідність Учасника кваліфікаційним критеріям**</w:t>
            </w:r>
          </w:p>
        </w:tc>
      </w:tr>
      <w:tr w:rsidR="006B4F4A">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F4A" w:rsidRDefault="00B25E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F4A" w:rsidRDefault="00B25E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F4A" w:rsidRDefault="00B25E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6B4F4A" w:rsidRDefault="00B25E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B4F4A" w:rsidRDefault="00B25E94">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6B4F4A" w:rsidRDefault="00B25E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6B4F4A" w:rsidRDefault="00B25E94">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6B4F4A" w:rsidRDefault="006B4F4A">
            <w:pPr>
              <w:spacing w:after="0" w:line="240" w:lineRule="auto"/>
              <w:rPr>
                <w:rFonts w:ascii="Times New Roman" w:eastAsia="Times New Roman" w:hAnsi="Times New Roman" w:cs="Times New Roman"/>
                <w:color w:val="4A86E8"/>
                <w:sz w:val="20"/>
                <w:szCs w:val="20"/>
              </w:rPr>
            </w:pPr>
          </w:p>
          <w:p w:rsidR="006B4F4A" w:rsidRPr="001053C5" w:rsidRDefault="00B25E94">
            <w:pPr>
              <w:spacing w:after="0" w:line="240" w:lineRule="auto"/>
              <w:jc w:val="both"/>
              <w:rPr>
                <w:rFonts w:ascii="Times New Roman" w:eastAsia="Times New Roman" w:hAnsi="Times New Roman" w:cs="Times New Roman"/>
                <w:sz w:val="20"/>
                <w:szCs w:val="20"/>
              </w:rPr>
            </w:pPr>
            <w:r w:rsidRPr="001053C5">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B4F4A" w:rsidRDefault="00B25E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6B4F4A" w:rsidRDefault="00B25E94">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B4F4A" w:rsidRPr="001053C5" w:rsidRDefault="00B25E94">
      <w:pPr>
        <w:spacing w:before="120" w:after="240" w:line="240" w:lineRule="auto"/>
        <w:ind w:firstLine="720"/>
        <w:jc w:val="both"/>
        <w:rPr>
          <w:rFonts w:ascii="Times New Roman" w:eastAsia="Times New Roman" w:hAnsi="Times New Roman" w:cs="Times New Roman"/>
          <w:sz w:val="20"/>
          <w:szCs w:val="20"/>
        </w:rPr>
      </w:pPr>
      <w:r w:rsidRPr="001053C5">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1053C5">
        <w:rPr>
          <w:rFonts w:ascii="Times New Roman" w:eastAsia="Times New Roman" w:hAnsi="Times New Roman" w:cs="Times New Roman"/>
          <w:b/>
          <w:i/>
          <w:sz w:val="20"/>
          <w:szCs w:val="20"/>
        </w:rPr>
        <w:t>(наявність обладнання, матеріально-технічної бази та технологій)</w:t>
      </w:r>
      <w:r w:rsidRPr="001053C5">
        <w:rPr>
          <w:rFonts w:ascii="Times New Roman" w:eastAsia="Times New Roman" w:hAnsi="Times New Roman" w:cs="Times New Roman"/>
          <w:i/>
          <w:sz w:val="20"/>
          <w:szCs w:val="20"/>
        </w:rPr>
        <w:t xml:space="preserve"> і 2 </w:t>
      </w:r>
      <w:r w:rsidRPr="001053C5">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1053C5">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6B4F4A" w:rsidRDefault="00B25E94">
      <w:pPr>
        <w:spacing w:before="20" w:after="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(далі – Закон) відповідно до вимог Особливостей.</w:t>
      </w:r>
    </w:p>
    <w:p w:rsidR="006B4F4A" w:rsidRDefault="00B25E94">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B4F4A" w:rsidRPr="0096575B" w:rsidRDefault="00B25E94">
      <w:pPr>
        <w:pBdr>
          <w:top w:val="nil"/>
          <w:left w:val="nil"/>
          <w:bottom w:val="nil"/>
          <w:right w:val="nil"/>
          <w:between w:val="nil"/>
        </w:pBdr>
        <w:spacing w:before="20" w:after="20" w:line="240" w:lineRule="auto"/>
        <w:ind w:firstLine="720"/>
        <w:jc w:val="both"/>
        <w:rPr>
          <w:rFonts w:ascii="Times New Roman" w:hAnsi="Times New Roman"/>
          <w:sz w:val="20"/>
          <w:szCs w:val="20"/>
          <w:shd w:val="solid" w:color="FFFFFF" w:fill="FFFFFF"/>
          <w:lang w:val="uk-UA"/>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w:t>
      </w:r>
      <w:r w:rsidR="0096575B">
        <w:rPr>
          <w:rFonts w:ascii="Times New Roman" w:eastAsia="Times New Roman" w:hAnsi="Times New Roman" w:cs="Times New Roman"/>
          <w:sz w:val="20"/>
          <w:szCs w:val="20"/>
        </w:rPr>
        <w:t>твертого пункту 44 Особливостей</w:t>
      </w:r>
      <w:r w:rsidR="0096575B">
        <w:rPr>
          <w:rFonts w:ascii="Times New Roman" w:eastAsia="Times New Roman" w:hAnsi="Times New Roman" w:cs="Times New Roman"/>
          <w:sz w:val="20"/>
          <w:szCs w:val="20"/>
          <w:lang w:val="uk-UA"/>
        </w:rPr>
        <w:t xml:space="preserve">, </w:t>
      </w:r>
      <w:r w:rsidR="0096575B" w:rsidRPr="0096575B">
        <w:rPr>
          <w:rFonts w:ascii="Times New Roman" w:hAnsi="Times New Roman"/>
          <w:sz w:val="20"/>
          <w:szCs w:val="20"/>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p>
    <w:p w:rsidR="0096575B" w:rsidRPr="0096575B" w:rsidRDefault="0096575B" w:rsidP="0096575B">
      <w:pPr>
        <w:pStyle w:val="rvps2"/>
        <w:shd w:val="clear" w:color="auto" w:fill="FFFFFF"/>
        <w:spacing w:before="0" w:beforeAutospacing="0" w:after="0" w:afterAutospacing="0"/>
        <w:ind w:firstLine="720"/>
        <w:jc w:val="both"/>
        <w:rPr>
          <w:b/>
          <w:sz w:val="20"/>
          <w:szCs w:val="20"/>
        </w:rPr>
      </w:pPr>
      <w:r w:rsidRPr="0096575B">
        <w:rPr>
          <w:b/>
          <w:sz w:val="20"/>
          <w:szCs w:val="20"/>
        </w:rPr>
        <w:t>З урахуванням  відсутності відповідного поля в електронній системі закупівель, для підтвердження учасником відсутності підстави для відмови в участі у процедурі закупівлі згідно частини 2 статті 17 Закону, інформація про відсутність зазначеної підстави у будь-якому випадку надається учасником у складі тендерної пропозиції згідно вимог цього пункту у вигляді довідки у довільній формі.</w:t>
      </w:r>
    </w:p>
    <w:p w:rsidR="0096575B" w:rsidRPr="0096575B" w:rsidRDefault="0096575B" w:rsidP="0096575B">
      <w:pPr>
        <w:pStyle w:val="rvps2"/>
        <w:shd w:val="clear" w:color="auto" w:fill="FFFFFF"/>
        <w:spacing w:before="0" w:beforeAutospacing="0" w:after="0" w:afterAutospacing="0"/>
        <w:jc w:val="both"/>
        <w:rPr>
          <w:b/>
          <w:sz w:val="20"/>
          <w:szCs w:val="20"/>
        </w:rPr>
      </w:pPr>
      <w:r w:rsidRPr="0096575B">
        <w:rPr>
          <w:b/>
          <w:sz w:val="20"/>
          <w:szCs w:val="20"/>
        </w:rPr>
        <w:t>Якщо на час подання документів тендерної пропозиції, відсутня можливості перевірити публічну інформацію, згідно із законодавством, що оприлюднена у формі відкритих даних згідно із </w:t>
      </w:r>
      <w:hyperlink r:id="rId8" w:tgtFrame="_blank" w:history="1">
        <w:r w:rsidRPr="0096575B">
          <w:rPr>
            <w:b/>
            <w:sz w:val="20"/>
            <w:szCs w:val="20"/>
          </w:rPr>
          <w:t>Законом України</w:t>
        </w:r>
      </w:hyperlink>
      <w:r w:rsidRPr="0096575B">
        <w:rPr>
          <w:b/>
          <w:sz w:val="20"/>
          <w:szCs w:val="20"/>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довідок (або зведеної довідки), складених учасником у довільній формі, зміст яких підтверджує відсутність </w:t>
      </w:r>
      <w:r w:rsidRPr="0096575B">
        <w:rPr>
          <w:b/>
          <w:sz w:val="20"/>
          <w:szCs w:val="20"/>
        </w:rPr>
        <w:lastRenderedPageBreak/>
        <w:t>відповідних підстав для відмови в участі у процедурі закупівлі або шляхом заповнення відповідних електронних полів при поданні тендерної пропозиції з інформацією у довільній формі, що підтверджує відсутність кожної з підстав для відмови учаснику в участі у процедурі закупівлі, що підтверджує відсутність кожної з підстав для відмови учаснику в участі у процедурі закупівлі, що передбачені пунктами 2, 3, 8, 9 частини першої статті 17 Закону, тощо.</w:t>
      </w:r>
    </w:p>
    <w:p w:rsidR="0096575B" w:rsidRPr="0096575B" w:rsidRDefault="0096575B" w:rsidP="0096575B">
      <w:pPr>
        <w:spacing w:after="0" w:line="240" w:lineRule="auto"/>
        <w:jc w:val="both"/>
        <w:rPr>
          <w:rFonts w:ascii="Times New Roman" w:hAnsi="Times New Roman" w:cs="Times New Roman"/>
          <w:sz w:val="20"/>
          <w:szCs w:val="20"/>
          <w:lang w:val="uk-UA"/>
        </w:rPr>
      </w:pPr>
      <w:r w:rsidRPr="0096575B">
        <w:rPr>
          <w:rFonts w:ascii="Times New Roman" w:hAnsi="Times New Roman" w:cs="Times New Roman"/>
          <w:sz w:val="20"/>
          <w:szCs w:val="20"/>
          <w:lang w:val="uk-UA"/>
        </w:rPr>
        <w:t>* Вимога щодо надання учасником інформації у довільній формі за пунктами 2, 3, 8 і 9 частини 1 статті 17 Закону встановлена у зв’язку з відсутністю можливості перевірки у період правового режиму воєнного стану в Україні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користувачами щодо інших осіб, що підтверджується наступними нормативними актами:</w:t>
      </w:r>
    </w:p>
    <w:p w:rsidR="0096575B" w:rsidRPr="0096575B" w:rsidRDefault="0096575B" w:rsidP="0096575B">
      <w:pPr>
        <w:spacing w:after="0" w:line="240" w:lineRule="auto"/>
        <w:jc w:val="both"/>
        <w:rPr>
          <w:rFonts w:ascii="Times New Roman" w:hAnsi="Times New Roman" w:cs="Times New Roman"/>
          <w:sz w:val="20"/>
          <w:szCs w:val="20"/>
          <w:shd w:val="clear" w:color="auto" w:fill="FFFFFF"/>
        </w:rPr>
      </w:pPr>
      <w:r w:rsidRPr="0096575B">
        <w:rPr>
          <w:rFonts w:ascii="Times New Roman" w:hAnsi="Times New Roman" w:cs="Times New Roman"/>
          <w:sz w:val="20"/>
          <w:szCs w:val="20"/>
          <w:shd w:val="clear" w:color="auto" w:fill="FFFFFF"/>
        </w:rPr>
        <w:t>- Указ Президента України від 24 лютого 2022 року № 64/2022 «Про введення воєнного стану в Україні», затвердженого Законом України від 24 лютого 2022 року № 2102-ІХ;</w:t>
      </w:r>
    </w:p>
    <w:p w:rsidR="0096575B" w:rsidRPr="0096575B" w:rsidRDefault="0096575B" w:rsidP="0096575B">
      <w:pPr>
        <w:spacing w:after="0" w:line="240" w:lineRule="auto"/>
        <w:jc w:val="both"/>
        <w:rPr>
          <w:rFonts w:ascii="Times New Roman" w:hAnsi="Times New Roman" w:cs="Times New Roman"/>
          <w:sz w:val="20"/>
          <w:szCs w:val="20"/>
          <w:shd w:val="clear" w:color="auto" w:fill="FFFFFF"/>
        </w:rPr>
      </w:pPr>
      <w:r w:rsidRPr="0096575B">
        <w:rPr>
          <w:rFonts w:ascii="Times New Roman" w:hAnsi="Times New Roman" w:cs="Times New Roman"/>
          <w:sz w:val="20"/>
          <w:szCs w:val="20"/>
        </w:rPr>
        <w:t xml:space="preserve">- </w:t>
      </w:r>
      <w:r w:rsidRPr="0096575B">
        <w:rPr>
          <w:rFonts w:ascii="Times New Roman" w:hAnsi="Times New Roman" w:cs="Times New Roman"/>
          <w:sz w:val="20"/>
          <w:szCs w:val="20"/>
          <w:shd w:val="clear" w:color="auto" w:fill="FFFFFF"/>
        </w:rPr>
        <w:t>Указ Президента України від 14 березня 2022 року № 133/2022, затвердженого Законом України від 15 березня 2022 року № 2119-ІХ;</w:t>
      </w:r>
    </w:p>
    <w:p w:rsidR="0096575B" w:rsidRPr="0096575B" w:rsidRDefault="0096575B" w:rsidP="0096575B">
      <w:pPr>
        <w:spacing w:after="0" w:line="240" w:lineRule="auto"/>
        <w:jc w:val="both"/>
        <w:rPr>
          <w:rFonts w:ascii="Times New Roman" w:hAnsi="Times New Roman" w:cs="Times New Roman"/>
          <w:sz w:val="20"/>
          <w:szCs w:val="20"/>
          <w:shd w:val="clear" w:color="auto" w:fill="FFFFFF"/>
        </w:rPr>
      </w:pPr>
      <w:r w:rsidRPr="0096575B">
        <w:rPr>
          <w:rFonts w:ascii="Times New Roman" w:hAnsi="Times New Roman" w:cs="Times New Roman"/>
          <w:sz w:val="20"/>
          <w:szCs w:val="20"/>
          <w:shd w:val="clear" w:color="auto" w:fill="FFFFFF"/>
        </w:rPr>
        <w:t>- Указ Президента України від 18 квітня 2022 року № 259/2022, затвердженого Законом України від 21 квітня 2022 року № 2212-ІХ;</w:t>
      </w:r>
    </w:p>
    <w:p w:rsidR="0096575B" w:rsidRPr="0096575B" w:rsidRDefault="0096575B" w:rsidP="0096575B">
      <w:pPr>
        <w:spacing w:after="0" w:line="240" w:lineRule="auto"/>
        <w:jc w:val="both"/>
        <w:rPr>
          <w:rFonts w:ascii="Times New Roman" w:hAnsi="Times New Roman" w:cs="Times New Roman"/>
          <w:sz w:val="20"/>
          <w:szCs w:val="20"/>
          <w:shd w:val="clear" w:color="auto" w:fill="FFFFFF"/>
        </w:rPr>
      </w:pPr>
      <w:r w:rsidRPr="0096575B">
        <w:rPr>
          <w:rFonts w:ascii="Times New Roman" w:hAnsi="Times New Roman" w:cs="Times New Roman"/>
          <w:sz w:val="20"/>
          <w:szCs w:val="20"/>
          <w:shd w:val="clear" w:color="auto" w:fill="FFFFFF"/>
        </w:rPr>
        <w:t>- Указ Президента України від 17 травня 2022 року № 341/2022 затвердженого Законом України від 22 травня 2022 року № 2263-ІХ;</w:t>
      </w:r>
    </w:p>
    <w:p w:rsidR="0096575B" w:rsidRPr="0096575B" w:rsidRDefault="0096575B" w:rsidP="0096575B">
      <w:pPr>
        <w:spacing w:after="0" w:line="240" w:lineRule="auto"/>
        <w:jc w:val="both"/>
        <w:rPr>
          <w:rFonts w:ascii="Times New Roman" w:hAnsi="Times New Roman" w:cs="Times New Roman"/>
          <w:bCs/>
          <w:sz w:val="20"/>
          <w:szCs w:val="20"/>
          <w:shd w:val="clear" w:color="auto" w:fill="FFFFFF"/>
        </w:rPr>
      </w:pPr>
      <w:r w:rsidRPr="0096575B">
        <w:rPr>
          <w:rFonts w:ascii="Times New Roman" w:hAnsi="Times New Roman" w:cs="Times New Roman"/>
          <w:sz w:val="20"/>
          <w:szCs w:val="20"/>
          <w:shd w:val="clear" w:color="auto" w:fill="FFFFFF"/>
        </w:rPr>
        <w:t>- Постанова КМУ від 12.03.2022 року №263 «</w:t>
      </w:r>
      <w:r w:rsidRPr="0096575B">
        <w:rPr>
          <w:rFonts w:ascii="Times New Roman" w:hAnsi="Times New Roman" w:cs="Times New Roman"/>
          <w:bCs/>
          <w:sz w:val="20"/>
          <w:szCs w:val="20"/>
          <w:shd w:val="clear" w:color="auto" w:fill="FFFFFF"/>
        </w:rPr>
        <w:t>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w:t>
      </w:r>
    </w:p>
    <w:p w:rsidR="0096575B" w:rsidRPr="0096575B" w:rsidRDefault="0096575B" w:rsidP="0096575B">
      <w:pPr>
        <w:pStyle w:val="rvps2"/>
        <w:shd w:val="clear" w:color="auto" w:fill="FFFFFF"/>
        <w:spacing w:before="0" w:beforeAutospacing="0" w:after="0" w:afterAutospacing="0"/>
        <w:jc w:val="both"/>
        <w:rPr>
          <w:sz w:val="20"/>
          <w:szCs w:val="20"/>
        </w:rPr>
      </w:pPr>
      <w:r w:rsidRPr="0096575B">
        <w:rPr>
          <w:bCs/>
          <w:sz w:val="20"/>
          <w:szCs w:val="20"/>
          <w:shd w:val="clear" w:color="auto" w:fill="FFFFFF"/>
        </w:rPr>
        <w:t>- Наказ Міністерства юстиції України від 13.04.2022 року №1462/5 «Про зупинення оприлюднення інформації у формі відкритих даних, розпорядником якої є Міністерство юстиції України».</w:t>
      </w:r>
    </w:p>
    <w:p w:rsidR="0096575B" w:rsidRPr="0096575B" w:rsidRDefault="0096575B" w:rsidP="0096575B">
      <w:pPr>
        <w:pStyle w:val="rvps2"/>
        <w:shd w:val="clear" w:color="auto" w:fill="FFFFFF"/>
        <w:spacing w:before="0" w:beforeAutospacing="0" w:after="0" w:afterAutospacing="0"/>
        <w:jc w:val="both"/>
        <w:rPr>
          <w:sz w:val="20"/>
          <w:szCs w:val="20"/>
        </w:rPr>
      </w:pPr>
      <w:r w:rsidRPr="0096575B">
        <w:rPr>
          <w:sz w:val="20"/>
          <w:szCs w:val="20"/>
        </w:rPr>
        <w:t xml:space="preserve">Спосіб документального підтвердження згідно із законодавством щодо відсутності підстав, передбачених пунктами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w:t>
      </w:r>
    </w:p>
    <w:p w:rsidR="0096575B" w:rsidRPr="0096575B" w:rsidRDefault="0096575B" w:rsidP="0096575B">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lang w:val="uk-UA"/>
        </w:rPr>
      </w:pPr>
      <w:r w:rsidRPr="0096575B">
        <w:rPr>
          <w:rFonts w:ascii="Times New Roman" w:hAnsi="Times New Roman" w:cs="Times New Roman"/>
          <w:sz w:val="20"/>
          <w:szCs w:val="20"/>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6B4F4A" w:rsidRDefault="00B25E9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відповідно до вимог Особливостей:</w:t>
      </w:r>
    </w:p>
    <w:p w:rsidR="006B4F4A" w:rsidRDefault="00B25E94">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B4F4A" w:rsidRPr="001053C5" w:rsidRDefault="00B25E94">
      <w:pPr>
        <w:spacing w:before="20" w:after="20" w:line="240" w:lineRule="auto"/>
        <w:ind w:firstLine="720"/>
        <w:jc w:val="both"/>
        <w:rPr>
          <w:rFonts w:ascii="Times New Roman" w:eastAsia="Times New Roman" w:hAnsi="Times New Roman" w:cs="Times New Roman"/>
          <w:b/>
          <w:sz w:val="20"/>
          <w:szCs w:val="20"/>
        </w:rPr>
      </w:pPr>
      <w:r w:rsidRPr="001053C5">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B4F4A" w:rsidRPr="001053C5" w:rsidRDefault="00B25E94">
      <w:pPr>
        <w:spacing w:before="20" w:after="20" w:line="240" w:lineRule="auto"/>
        <w:ind w:firstLine="720"/>
        <w:jc w:val="both"/>
        <w:rPr>
          <w:rFonts w:ascii="Times New Roman" w:eastAsia="Times New Roman" w:hAnsi="Times New Roman" w:cs="Times New Roman"/>
          <w:b/>
          <w:sz w:val="20"/>
          <w:szCs w:val="20"/>
        </w:rPr>
      </w:pPr>
      <w:r w:rsidRPr="001053C5">
        <w:rPr>
          <w:rFonts w:ascii="Times New Roman" w:eastAsia="Times New Roman" w:hAnsi="Times New Roman" w:cs="Times New Roman"/>
          <w:b/>
          <w:sz w:val="20"/>
          <w:szCs w:val="20"/>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B4F4A" w:rsidRDefault="006B4F4A">
      <w:pPr>
        <w:spacing w:before="20" w:after="20" w:line="240" w:lineRule="auto"/>
        <w:ind w:firstLine="720"/>
        <w:jc w:val="both"/>
        <w:rPr>
          <w:rFonts w:ascii="Times New Roman" w:eastAsia="Times New Roman" w:hAnsi="Times New Roman" w:cs="Times New Roman"/>
          <w:b/>
          <w:sz w:val="20"/>
          <w:szCs w:val="20"/>
          <w:highlight w:val="cyan"/>
        </w:rPr>
      </w:pPr>
    </w:p>
    <w:p w:rsidR="00B25E94" w:rsidRPr="00B25E94" w:rsidRDefault="00B25E94" w:rsidP="00B25E94">
      <w:pPr>
        <w:pStyle w:val="rvps2"/>
        <w:shd w:val="clear" w:color="auto" w:fill="FFFFFF"/>
        <w:tabs>
          <w:tab w:val="left" w:pos="365"/>
        </w:tabs>
        <w:spacing w:before="0" w:beforeAutospacing="0" w:after="0" w:afterAutospacing="0"/>
        <w:jc w:val="both"/>
        <w:rPr>
          <w:sz w:val="20"/>
          <w:szCs w:val="20"/>
        </w:rPr>
      </w:pPr>
      <w:r w:rsidRPr="00B25E94">
        <w:rPr>
          <w:sz w:val="20"/>
          <w:szCs w:val="20"/>
        </w:rPr>
        <w:t>Переможець процедури закупівлі:</w:t>
      </w:r>
    </w:p>
    <w:p w:rsidR="00B25E94" w:rsidRPr="00B25E94" w:rsidRDefault="00B25E94" w:rsidP="00B25E94">
      <w:pPr>
        <w:pStyle w:val="rvps2"/>
        <w:numPr>
          <w:ilvl w:val="0"/>
          <w:numId w:val="3"/>
        </w:numPr>
        <w:shd w:val="clear" w:color="auto" w:fill="FFFFFF"/>
        <w:tabs>
          <w:tab w:val="left" w:pos="365"/>
        </w:tabs>
        <w:spacing w:before="0" w:beforeAutospacing="0" w:after="0" w:afterAutospacing="0"/>
        <w:ind w:left="0" w:firstLine="0"/>
        <w:jc w:val="both"/>
        <w:rPr>
          <w:sz w:val="20"/>
          <w:szCs w:val="20"/>
          <w:shd w:val="clear" w:color="auto" w:fill="FFFFFF"/>
        </w:rPr>
      </w:pPr>
      <w:r w:rsidRPr="00B25E94">
        <w:rPr>
          <w:b/>
          <w:sz w:val="20"/>
          <w:szCs w:val="20"/>
        </w:rPr>
        <w:t>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w:t>
      </w:r>
      <w:hyperlink r:id="rId9" w:tgtFrame="_blank" w:history="1">
        <w:r w:rsidRPr="00B25E94">
          <w:rPr>
            <w:b/>
            <w:sz w:val="20"/>
            <w:szCs w:val="20"/>
          </w:rPr>
          <w:t>Законом України</w:t>
        </w:r>
      </w:hyperlink>
      <w:r w:rsidRPr="00B25E94">
        <w:rPr>
          <w:b/>
          <w:sz w:val="20"/>
          <w:szCs w:val="20"/>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Переможець надає документ, що підтверджує відсутність підстави, визначеної пунктом 2 частини першої статті 17 Закону, наприклад: </w:t>
      </w:r>
      <w:r w:rsidRPr="00B25E94">
        <w:rPr>
          <w:sz w:val="20"/>
          <w:szCs w:val="20"/>
        </w:rPr>
        <w:t xml:space="preserve">Витяг з </w:t>
      </w:r>
      <w:hyperlink r:id="rId10" w:history="1">
        <w:r w:rsidRPr="00B25E94">
          <w:rPr>
            <w:sz w:val="20"/>
            <w:szCs w:val="20"/>
          </w:rPr>
          <w:t>Єдиного державного реєстру осіб, які вчинили корупційні або пов’язані з корупцією правопорушення</w:t>
        </w:r>
      </w:hyperlink>
      <w:r w:rsidRPr="00B25E94">
        <w:rPr>
          <w:sz w:val="20"/>
          <w:szCs w:val="20"/>
        </w:rPr>
        <w:t xml:space="preserve"> та/або довідку з </w:t>
      </w:r>
      <w:hyperlink r:id="rId11" w:history="1">
        <w:r w:rsidRPr="00B25E94">
          <w:rPr>
            <w:sz w:val="20"/>
            <w:szCs w:val="20"/>
          </w:rPr>
          <w:t>Єдиного державного реєстру осіб, які вчинили корупційні або пов’язані з корупцією правопорушення</w:t>
        </w:r>
      </w:hyperlink>
      <w:r w:rsidRPr="00B25E94">
        <w:rPr>
          <w:sz w:val="20"/>
          <w:szCs w:val="20"/>
        </w:rPr>
        <w:t xml:space="preserve">, видану Національним агентством з питань запобігання корупції, довідка надається з цифровим підписом НАЗК придатним для перевірки на сайті Центрального засвідчувального органу за посиланням – </w:t>
      </w:r>
      <w:hyperlink r:id="rId12" w:history="1">
        <w:r w:rsidRPr="00B25E94">
          <w:rPr>
            <w:rStyle w:val="a5"/>
            <w:color w:val="auto"/>
            <w:sz w:val="20"/>
            <w:szCs w:val="20"/>
          </w:rPr>
          <w:t>http://czo.gov.ua/verify</w:t>
        </w:r>
      </w:hyperlink>
      <w:r w:rsidRPr="00B25E94">
        <w:rPr>
          <w:sz w:val="20"/>
          <w:szCs w:val="20"/>
        </w:rPr>
        <w:t>, тощо.</w:t>
      </w:r>
    </w:p>
    <w:p w:rsidR="00B25E94" w:rsidRPr="00B25E94" w:rsidRDefault="00B25E94" w:rsidP="00B25E94">
      <w:pPr>
        <w:pStyle w:val="rvps2"/>
        <w:numPr>
          <w:ilvl w:val="0"/>
          <w:numId w:val="3"/>
        </w:numPr>
        <w:shd w:val="clear" w:color="auto" w:fill="FFFFFF"/>
        <w:tabs>
          <w:tab w:val="left" w:pos="365"/>
        </w:tabs>
        <w:spacing w:before="0" w:beforeAutospacing="0" w:after="0" w:afterAutospacing="0"/>
        <w:ind w:left="0" w:firstLine="0"/>
        <w:jc w:val="both"/>
        <w:rPr>
          <w:sz w:val="20"/>
          <w:szCs w:val="20"/>
          <w:shd w:val="clear" w:color="auto" w:fill="FFFFFF"/>
        </w:rPr>
      </w:pPr>
      <w:r w:rsidRPr="00B25E94">
        <w:rPr>
          <w:b/>
          <w:sz w:val="20"/>
          <w:szCs w:val="20"/>
        </w:rPr>
        <w:t>Якщо на час подання документів відсутня можливості  перевірити публічну інформацію, згідно із законодавством,  що оприлюднена у формі відкритих даних згідно із </w:t>
      </w:r>
      <w:hyperlink r:id="rId13" w:tgtFrame="_blank" w:history="1">
        <w:r w:rsidRPr="00B25E94">
          <w:rPr>
            <w:b/>
            <w:sz w:val="20"/>
            <w:szCs w:val="20"/>
          </w:rPr>
          <w:t>Законом України</w:t>
        </w:r>
      </w:hyperlink>
      <w:r w:rsidRPr="00B25E94">
        <w:rPr>
          <w:b/>
          <w:sz w:val="20"/>
          <w:szCs w:val="20"/>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Переможець надає документ, що підтверджує відсутність підстави, визначеної пунктом 3 частини першої статті 17 Закону, наприклад:</w:t>
      </w:r>
      <w:r w:rsidRPr="00B25E94">
        <w:rPr>
          <w:sz w:val="20"/>
          <w:szCs w:val="20"/>
        </w:rPr>
        <w:t xml:space="preserve"> Витяг з </w:t>
      </w:r>
      <w:hyperlink r:id="rId14" w:history="1">
        <w:r w:rsidRPr="00B25E94">
          <w:rPr>
            <w:sz w:val="20"/>
            <w:szCs w:val="20"/>
          </w:rPr>
          <w:t>Єдиного державного реєстру осіб, які вчинили корупційні або пов’язані з корупцією правопорушення</w:t>
        </w:r>
      </w:hyperlink>
      <w:r w:rsidRPr="00B25E94">
        <w:rPr>
          <w:sz w:val="20"/>
          <w:szCs w:val="20"/>
        </w:rPr>
        <w:t xml:space="preserve"> та/або довідку з </w:t>
      </w:r>
      <w:hyperlink r:id="rId15" w:history="1">
        <w:r w:rsidRPr="00B25E94">
          <w:rPr>
            <w:sz w:val="20"/>
            <w:szCs w:val="20"/>
          </w:rPr>
          <w:t xml:space="preserve">Єдиного державного реєстру осіб, які вчинили корупційні або пов’язані з </w:t>
        </w:r>
        <w:r w:rsidRPr="00B25E94">
          <w:rPr>
            <w:sz w:val="20"/>
            <w:szCs w:val="20"/>
          </w:rPr>
          <w:lastRenderedPageBreak/>
          <w:t>корупцією правопорушення</w:t>
        </w:r>
      </w:hyperlink>
      <w:r w:rsidRPr="00B25E94">
        <w:rPr>
          <w:sz w:val="20"/>
          <w:szCs w:val="20"/>
        </w:rPr>
        <w:t xml:space="preserve">, видану Національним агентством з питань запобігання корупції, довідка надається з цифровим підписом НАЗК придатним для перевірки на сайті Центрального засвідчувального органу за посиланням – </w:t>
      </w:r>
      <w:hyperlink r:id="rId16" w:history="1">
        <w:r w:rsidRPr="00B25E94">
          <w:rPr>
            <w:rStyle w:val="a5"/>
            <w:color w:val="auto"/>
            <w:sz w:val="20"/>
            <w:szCs w:val="20"/>
          </w:rPr>
          <w:t>http://czo.gov.ua/verify</w:t>
        </w:r>
      </w:hyperlink>
      <w:r w:rsidRPr="00B25E94">
        <w:rPr>
          <w:sz w:val="20"/>
          <w:szCs w:val="20"/>
        </w:rPr>
        <w:t>, тощо.</w:t>
      </w:r>
    </w:p>
    <w:p w:rsidR="00B25E94" w:rsidRPr="00B25E94" w:rsidRDefault="00B25E94" w:rsidP="00B25E94">
      <w:pPr>
        <w:pStyle w:val="rvps2"/>
        <w:numPr>
          <w:ilvl w:val="0"/>
          <w:numId w:val="3"/>
        </w:numPr>
        <w:shd w:val="clear" w:color="auto" w:fill="FFFFFF"/>
        <w:tabs>
          <w:tab w:val="left" w:pos="365"/>
        </w:tabs>
        <w:spacing w:before="0" w:beforeAutospacing="0" w:after="0" w:afterAutospacing="0"/>
        <w:ind w:left="0" w:firstLine="0"/>
        <w:jc w:val="both"/>
        <w:rPr>
          <w:sz w:val="20"/>
          <w:szCs w:val="20"/>
        </w:rPr>
      </w:pPr>
      <w:r w:rsidRPr="00B25E94">
        <w:rPr>
          <w:b/>
          <w:sz w:val="20"/>
          <w:szCs w:val="20"/>
        </w:rPr>
        <w:t>Якщо на час подання документів відсутня можливості  перевірити публічну інформацію, згідно із законодавством, що оприлюднена у формі відкритих даних згідно із </w:t>
      </w:r>
      <w:hyperlink r:id="rId17" w:tgtFrame="_blank" w:history="1">
        <w:r w:rsidRPr="00B25E94">
          <w:rPr>
            <w:b/>
            <w:sz w:val="20"/>
            <w:szCs w:val="20"/>
          </w:rPr>
          <w:t>Законом України</w:t>
        </w:r>
      </w:hyperlink>
      <w:r w:rsidRPr="00B25E94">
        <w:rPr>
          <w:b/>
          <w:sz w:val="20"/>
          <w:szCs w:val="20"/>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Переможець надає документ, що підтверджує відсутність підстави, визначеної пунктом 8 частини першої статті 17 Закону, наприклад: </w:t>
      </w:r>
      <w:r w:rsidRPr="00B25E94">
        <w:rPr>
          <w:sz w:val="20"/>
          <w:szCs w:val="20"/>
        </w:rPr>
        <w:t>довідку, в довільній формі, тощо.</w:t>
      </w:r>
    </w:p>
    <w:p w:rsidR="00B25E94" w:rsidRPr="00B25E94" w:rsidRDefault="00B25E94" w:rsidP="00B25E94">
      <w:pPr>
        <w:pStyle w:val="rvps2"/>
        <w:numPr>
          <w:ilvl w:val="0"/>
          <w:numId w:val="3"/>
        </w:numPr>
        <w:shd w:val="clear" w:color="auto" w:fill="FFFFFF"/>
        <w:tabs>
          <w:tab w:val="left" w:pos="365"/>
        </w:tabs>
        <w:spacing w:before="0" w:beforeAutospacing="0" w:after="0" w:afterAutospacing="0"/>
        <w:ind w:left="0" w:firstLine="0"/>
        <w:jc w:val="both"/>
        <w:rPr>
          <w:b/>
          <w:sz w:val="20"/>
          <w:szCs w:val="20"/>
        </w:rPr>
      </w:pPr>
      <w:r w:rsidRPr="00B25E94">
        <w:rPr>
          <w:b/>
          <w:sz w:val="20"/>
          <w:szCs w:val="20"/>
        </w:rPr>
        <w:t>Документ, що підтверджує відсутність підстави, визначеної пунктом 5, 6, 12 статті 17 Закону, а саме:</w:t>
      </w:r>
    </w:p>
    <w:p w:rsidR="00B25E94" w:rsidRPr="00B25E94" w:rsidRDefault="00B25E94" w:rsidP="00B25E94">
      <w:pPr>
        <w:shd w:val="clear" w:color="auto" w:fill="FFFFFF"/>
        <w:spacing w:after="0" w:line="240" w:lineRule="auto"/>
        <w:ind w:right="108"/>
        <w:jc w:val="both"/>
        <w:rPr>
          <w:rFonts w:ascii="Times New Roman" w:hAnsi="Times New Roman" w:cs="Times New Roman"/>
          <w:sz w:val="20"/>
          <w:szCs w:val="20"/>
          <w:lang w:val="uk-UA"/>
        </w:rPr>
      </w:pPr>
      <w:r w:rsidRPr="00B25E94">
        <w:rPr>
          <w:rFonts w:ascii="Times New Roman" w:hAnsi="Times New Roman" w:cs="Times New Roman"/>
          <w:sz w:val="20"/>
          <w:szCs w:val="20"/>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8" w:tgtFrame="_blank" w:history="1">
        <w:r w:rsidRPr="00B25E94">
          <w:rPr>
            <w:rFonts w:ascii="Times New Roman" w:hAnsi="Times New Roman" w:cs="Times New Roman"/>
            <w:sz w:val="20"/>
            <w:szCs w:val="20"/>
          </w:rPr>
          <w:t>vytiah</w:t>
        </w:r>
        <w:r w:rsidRPr="00B25E94">
          <w:rPr>
            <w:rFonts w:ascii="Times New Roman" w:hAnsi="Times New Roman" w:cs="Times New Roman"/>
            <w:sz w:val="20"/>
            <w:szCs w:val="20"/>
            <w:lang w:val="uk-UA"/>
          </w:rPr>
          <w:t>.</w:t>
        </w:r>
        <w:r w:rsidRPr="00B25E94">
          <w:rPr>
            <w:rFonts w:ascii="Times New Roman" w:hAnsi="Times New Roman" w:cs="Times New Roman"/>
            <w:sz w:val="20"/>
            <w:szCs w:val="20"/>
          </w:rPr>
          <w:t>mvs</w:t>
        </w:r>
        <w:r w:rsidRPr="00B25E94">
          <w:rPr>
            <w:rFonts w:ascii="Times New Roman" w:hAnsi="Times New Roman" w:cs="Times New Roman"/>
            <w:sz w:val="20"/>
            <w:szCs w:val="20"/>
            <w:lang w:val="uk-UA"/>
          </w:rPr>
          <w:t>.</w:t>
        </w:r>
        <w:r w:rsidRPr="00B25E94">
          <w:rPr>
            <w:rFonts w:ascii="Times New Roman" w:hAnsi="Times New Roman" w:cs="Times New Roman"/>
            <w:sz w:val="20"/>
            <w:szCs w:val="20"/>
          </w:rPr>
          <w:t>gov</w:t>
        </w:r>
        <w:r w:rsidRPr="00B25E94">
          <w:rPr>
            <w:rFonts w:ascii="Times New Roman" w:hAnsi="Times New Roman" w:cs="Times New Roman"/>
            <w:sz w:val="20"/>
            <w:szCs w:val="20"/>
            <w:lang w:val="uk-UA"/>
          </w:rPr>
          <w:t>.</w:t>
        </w:r>
        <w:r w:rsidRPr="00B25E94">
          <w:rPr>
            <w:rFonts w:ascii="Times New Roman" w:hAnsi="Times New Roman" w:cs="Times New Roman"/>
            <w:sz w:val="20"/>
            <w:szCs w:val="20"/>
          </w:rPr>
          <w:t>ua</w:t>
        </w:r>
      </w:hyperlink>
      <w:r w:rsidRPr="00B25E94">
        <w:rPr>
          <w:rFonts w:ascii="Times New Roman" w:hAnsi="Times New Roman" w:cs="Times New Roman"/>
          <w:sz w:val="20"/>
          <w:szCs w:val="20"/>
          <w:lang w:val="uk-UA"/>
        </w:rPr>
        <w:t xml:space="preserve">. </w:t>
      </w:r>
    </w:p>
    <w:p w:rsidR="00B25E94" w:rsidRPr="00B25E94" w:rsidRDefault="00B25E94" w:rsidP="00B25E94">
      <w:pPr>
        <w:shd w:val="clear" w:color="auto" w:fill="FFFFFF"/>
        <w:spacing w:after="0" w:line="240" w:lineRule="auto"/>
        <w:ind w:right="108"/>
        <w:jc w:val="both"/>
        <w:rPr>
          <w:rFonts w:ascii="Times New Roman" w:hAnsi="Times New Roman" w:cs="Times New Roman"/>
          <w:sz w:val="20"/>
          <w:szCs w:val="20"/>
        </w:rPr>
      </w:pPr>
      <w:r w:rsidRPr="00B25E94">
        <w:rPr>
          <w:rFonts w:ascii="Times New Roman" w:hAnsi="Times New Roman" w:cs="Times New Roman"/>
          <w:sz w:val="20"/>
          <w:szCs w:val="20"/>
        </w:rPr>
        <w:t>Витяг повинен містити реквізити для перевірки, зокрема QR-код та номер або ж електронний підпис або печатку МВС.</w:t>
      </w:r>
    </w:p>
    <w:p w:rsidR="00B25E94" w:rsidRPr="00B25E94" w:rsidRDefault="00B25E94" w:rsidP="00B25E94">
      <w:pPr>
        <w:tabs>
          <w:tab w:val="left" w:pos="365"/>
        </w:tabs>
        <w:spacing w:after="0" w:line="240" w:lineRule="auto"/>
        <w:jc w:val="both"/>
        <w:rPr>
          <w:rFonts w:ascii="Times New Roman" w:hAnsi="Times New Roman" w:cs="Times New Roman"/>
          <w:sz w:val="20"/>
          <w:szCs w:val="20"/>
        </w:rPr>
      </w:pPr>
      <w:r w:rsidRPr="00B25E94">
        <w:rPr>
          <w:rFonts w:ascii="Times New Roman" w:hAnsi="Times New Roman" w:cs="Times New Roman"/>
          <w:sz w:val="20"/>
          <w:szCs w:val="20"/>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p w:rsidR="00B25E94" w:rsidRPr="00B25E94" w:rsidRDefault="00B25E94" w:rsidP="00B25E94">
      <w:pPr>
        <w:shd w:val="clear" w:color="auto" w:fill="FFFFFF"/>
        <w:spacing w:after="0" w:line="240" w:lineRule="auto"/>
        <w:jc w:val="both"/>
        <w:textAlignment w:val="baseline"/>
        <w:rPr>
          <w:rFonts w:ascii="Times New Roman" w:hAnsi="Times New Roman" w:cs="Times New Roman"/>
          <w:i/>
          <w:sz w:val="20"/>
          <w:szCs w:val="20"/>
        </w:rPr>
      </w:pPr>
      <w:r w:rsidRPr="00B25E94">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B25E94" w:rsidRPr="00B25E94" w:rsidRDefault="00B25E94" w:rsidP="00B25E94">
      <w:pPr>
        <w:pStyle w:val="rvps2"/>
        <w:numPr>
          <w:ilvl w:val="0"/>
          <w:numId w:val="3"/>
        </w:numPr>
        <w:shd w:val="clear" w:color="auto" w:fill="FFFFFF"/>
        <w:tabs>
          <w:tab w:val="left" w:pos="365"/>
        </w:tabs>
        <w:spacing w:before="0" w:beforeAutospacing="0" w:after="0" w:afterAutospacing="0"/>
        <w:ind w:left="0" w:firstLine="0"/>
        <w:jc w:val="both"/>
        <w:rPr>
          <w:b/>
          <w:sz w:val="20"/>
          <w:szCs w:val="20"/>
        </w:rPr>
      </w:pPr>
      <w:r w:rsidRPr="00B25E94">
        <w:rPr>
          <w:b/>
          <w:sz w:val="20"/>
          <w:szCs w:val="20"/>
        </w:rPr>
        <w:t>Документ, що підтверджує відсутність підстави, визначеної абзацом 1 ч. 2 ст. 17 Закону, а саме:</w:t>
      </w:r>
    </w:p>
    <w:p w:rsidR="00B25E94" w:rsidRPr="00B25E94" w:rsidRDefault="00B25E94" w:rsidP="00B25E94">
      <w:pPr>
        <w:pStyle w:val="rvps2"/>
        <w:numPr>
          <w:ilvl w:val="0"/>
          <w:numId w:val="2"/>
        </w:numPr>
        <w:shd w:val="clear" w:color="auto" w:fill="FFFFFF"/>
        <w:tabs>
          <w:tab w:val="left" w:pos="365"/>
        </w:tabs>
        <w:spacing w:before="0" w:beforeAutospacing="0" w:after="0" w:afterAutospacing="0"/>
        <w:ind w:left="0" w:firstLine="0"/>
        <w:jc w:val="both"/>
        <w:rPr>
          <w:sz w:val="20"/>
          <w:szCs w:val="20"/>
        </w:rPr>
      </w:pPr>
      <w:r w:rsidRPr="00B25E94">
        <w:rPr>
          <w:sz w:val="20"/>
          <w:szCs w:val="20"/>
        </w:rPr>
        <w:t>Довідка у довільній формі, що підтверджує відсутність підстави, передбаченої абзацом 1 ч. 2 ст. 17 Закону. У разі якщо  Переможець процедури закупівлі перебуває в обставинах, зазначених у частині другій статті 17, може надати  інформацію у довільній формі, що підтверджує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B25E94" w:rsidRPr="00B25E94" w:rsidRDefault="00B25E94" w:rsidP="00B25E94">
      <w:pPr>
        <w:spacing w:after="0" w:line="240" w:lineRule="auto"/>
        <w:jc w:val="both"/>
        <w:rPr>
          <w:rFonts w:ascii="Times New Roman" w:hAnsi="Times New Roman" w:cs="Times New Roman"/>
          <w:sz w:val="20"/>
          <w:szCs w:val="20"/>
          <w:lang w:val="uk-UA"/>
        </w:rPr>
      </w:pPr>
      <w:r w:rsidRPr="00B25E94">
        <w:rPr>
          <w:rFonts w:ascii="Times New Roman" w:hAnsi="Times New Roman" w:cs="Times New Roman"/>
          <w:sz w:val="20"/>
          <w:szCs w:val="20"/>
          <w:lang w:val="uk-UA"/>
        </w:rPr>
        <w:t>* Вимога щодо надання Переможцем документів за пунктами 2, 3, 8, 9, частини 1 статті 17 Закону встановлена у зв’язку з відсутністю можливості перевірки у період правового режиму воєнного стану в Україні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користувачами щодо інших осіб, що підтверджується наступними нормативними актами:</w:t>
      </w:r>
    </w:p>
    <w:p w:rsidR="00B25E94" w:rsidRPr="00B25E94" w:rsidRDefault="00B25E94" w:rsidP="00B25E94">
      <w:pPr>
        <w:spacing w:after="0" w:line="240" w:lineRule="auto"/>
        <w:jc w:val="both"/>
        <w:rPr>
          <w:rFonts w:ascii="Times New Roman" w:hAnsi="Times New Roman" w:cs="Times New Roman"/>
          <w:sz w:val="20"/>
          <w:szCs w:val="20"/>
          <w:shd w:val="clear" w:color="auto" w:fill="FFFFFF"/>
        </w:rPr>
      </w:pPr>
      <w:r w:rsidRPr="00B25E94">
        <w:rPr>
          <w:rFonts w:ascii="Times New Roman" w:hAnsi="Times New Roman" w:cs="Times New Roman"/>
          <w:sz w:val="20"/>
          <w:szCs w:val="20"/>
          <w:shd w:val="clear" w:color="auto" w:fill="FFFFFF"/>
        </w:rPr>
        <w:t>- Указ Президента України від 24 лютого 2022 року № 64/2022 «Про введення воєнного стану в Україні», затвердженого Законом України від 24 лютого 2022 року № 2102-ІХ;</w:t>
      </w:r>
    </w:p>
    <w:p w:rsidR="00B25E94" w:rsidRPr="00B25E94" w:rsidRDefault="00B25E94" w:rsidP="00B25E94">
      <w:pPr>
        <w:spacing w:after="0" w:line="240" w:lineRule="auto"/>
        <w:jc w:val="both"/>
        <w:rPr>
          <w:rFonts w:ascii="Times New Roman" w:hAnsi="Times New Roman" w:cs="Times New Roman"/>
          <w:sz w:val="20"/>
          <w:szCs w:val="20"/>
          <w:shd w:val="clear" w:color="auto" w:fill="FFFFFF"/>
        </w:rPr>
      </w:pPr>
      <w:r w:rsidRPr="00B25E94">
        <w:rPr>
          <w:rFonts w:ascii="Times New Roman" w:hAnsi="Times New Roman" w:cs="Times New Roman"/>
          <w:sz w:val="20"/>
          <w:szCs w:val="20"/>
        </w:rPr>
        <w:t xml:space="preserve">- </w:t>
      </w:r>
      <w:r w:rsidRPr="00B25E94">
        <w:rPr>
          <w:rFonts w:ascii="Times New Roman" w:hAnsi="Times New Roman" w:cs="Times New Roman"/>
          <w:sz w:val="20"/>
          <w:szCs w:val="20"/>
          <w:shd w:val="clear" w:color="auto" w:fill="FFFFFF"/>
        </w:rPr>
        <w:t>Указ Президента України від 14 березня 2022 року № 133/2022, затвердженого Законом України від 15 березня 2022 року № 2119-ІХ;</w:t>
      </w:r>
    </w:p>
    <w:p w:rsidR="00B25E94" w:rsidRPr="00B25E94" w:rsidRDefault="00B25E94" w:rsidP="00B25E94">
      <w:pPr>
        <w:spacing w:after="0" w:line="240" w:lineRule="auto"/>
        <w:jc w:val="both"/>
        <w:rPr>
          <w:rFonts w:ascii="Times New Roman" w:hAnsi="Times New Roman" w:cs="Times New Roman"/>
          <w:sz w:val="20"/>
          <w:szCs w:val="20"/>
          <w:shd w:val="clear" w:color="auto" w:fill="FFFFFF"/>
        </w:rPr>
      </w:pPr>
      <w:r w:rsidRPr="00B25E94">
        <w:rPr>
          <w:rFonts w:ascii="Times New Roman" w:hAnsi="Times New Roman" w:cs="Times New Roman"/>
          <w:sz w:val="20"/>
          <w:szCs w:val="20"/>
          <w:shd w:val="clear" w:color="auto" w:fill="FFFFFF"/>
        </w:rPr>
        <w:t>- Указ Президента України від 18 квітня 2022 року № 259/2022, затвердженого Законом України від 21 квітня 2022 року № 2212-ІХ;</w:t>
      </w:r>
    </w:p>
    <w:p w:rsidR="00B25E94" w:rsidRPr="00B25E94" w:rsidRDefault="00B25E94" w:rsidP="00B25E94">
      <w:pPr>
        <w:spacing w:after="0" w:line="240" w:lineRule="auto"/>
        <w:jc w:val="both"/>
        <w:rPr>
          <w:rFonts w:ascii="Times New Roman" w:hAnsi="Times New Roman" w:cs="Times New Roman"/>
          <w:sz w:val="20"/>
          <w:szCs w:val="20"/>
          <w:shd w:val="clear" w:color="auto" w:fill="FFFFFF"/>
        </w:rPr>
      </w:pPr>
      <w:r w:rsidRPr="00B25E94">
        <w:rPr>
          <w:rFonts w:ascii="Times New Roman" w:hAnsi="Times New Roman" w:cs="Times New Roman"/>
          <w:sz w:val="20"/>
          <w:szCs w:val="20"/>
          <w:shd w:val="clear" w:color="auto" w:fill="FFFFFF"/>
        </w:rPr>
        <w:t>- Указ Президента України від 17 травня 2022 року № 341/2022 затвердженого Законом України від 22 травня 2022 року № 2263-ІХ;</w:t>
      </w:r>
    </w:p>
    <w:p w:rsidR="00B25E94" w:rsidRPr="00B25E94" w:rsidRDefault="00B25E94" w:rsidP="00B25E94">
      <w:pPr>
        <w:spacing w:after="0" w:line="240" w:lineRule="auto"/>
        <w:jc w:val="both"/>
        <w:rPr>
          <w:rFonts w:ascii="Times New Roman" w:hAnsi="Times New Roman" w:cs="Times New Roman"/>
          <w:bCs/>
          <w:sz w:val="20"/>
          <w:szCs w:val="20"/>
          <w:shd w:val="clear" w:color="auto" w:fill="FFFFFF"/>
        </w:rPr>
      </w:pPr>
      <w:r w:rsidRPr="00B25E94">
        <w:rPr>
          <w:rFonts w:ascii="Times New Roman" w:hAnsi="Times New Roman" w:cs="Times New Roman"/>
          <w:sz w:val="20"/>
          <w:szCs w:val="20"/>
          <w:shd w:val="clear" w:color="auto" w:fill="FFFFFF"/>
        </w:rPr>
        <w:t>- Постанова КМУ від 12.03.2022 року №263 «</w:t>
      </w:r>
      <w:r w:rsidRPr="00B25E94">
        <w:rPr>
          <w:rFonts w:ascii="Times New Roman" w:hAnsi="Times New Roman" w:cs="Times New Roman"/>
          <w:bCs/>
          <w:sz w:val="20"/>
          <w:szCs w:val="20"/>
          <w:shd w:val="clear" w:color="auto" w:fill="FFFFFF"/>
        </w:rPr>
        <w:t>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w:t>
      </w:r>
    </w:p>
    <w:p w:rsidR="00B25E94" w:rsidRPr="00B25E94" w:rsidRDefault="00B25E94" w:rsidP="00B25E94">
      <w:pPr>
        <w:spacing w:after="0" w:line="240" w:lineRule="auto"/>
        <w:jc w:val="both"/>
        <w:rPr>
          <w:rFonts w:ascii="Times New Roman" w:hAnsi="Times New Roman" w:cs="Times New Roman"/>
          <w:sz w:val="20"/>
          <w:szCs w:val="20"/>
        </w:rPr>
      </w:pPr>
      <w:r w:rsidRPr="00B25E94">
        <w:rPr>
          <w:rFonts w:ascii="Times New Roman" w:hAnsi="Times New Roman" w:cs="Times New Roman"/>
          <w:bCs/>
          <w:sz w:val="20"/>
          <w:szCs w:val="20"/>
          <w:shd w:val="clear" w:color="auto" w:fill="FFFFFF"/>
        </w:rPr>
        <w:t>- Наказ Міністерства юстиції України від 13.04.2022 року №1462/5 «Про зупинення оприлюднення інформації у формі відкритих даних, розпорядником якої є Міністерство юстиції України».</w:t>
      </w:r>
      <w:r w:rsidRPr="00B25E94">
        <w:rPr>
          <w:rFonts w:ascii="Times New Roman" w:hAnsi="Times New Roman" w:cs="Times New Roman"/>
          <w:sz w:val="20"/>
          <w:szCs w:val="20"/>
        </w:rPr>
        <w:t>»</w:t>
      </w:r>
    </w:p>
    <w:p w:rsidR="0096575B" w:rsidRPr="00B25E94" w:rsidRDefault="00B25E94" w:rsidP="00B25E94">
      <w:pPr>
        <w:shd w:val="clear" w:color="auto" w:fill="FFFFFF"/>
        <w:spacing w:before="120" w:after="0" w:line="240" w:lineRule="auto"/>
        <w:ind w:firstLine="720"/>
        <w:jc w:val="both"/>
        <w:rPr>
          <w:rFonts w:ascii="Times New Roman" w:eastAsia="Times New Roman" w:hAnsi="Times New Roman" w:cs="Times New Roman"/>
          <w:sz w:val="20"/>
          <w:szCs w:val="20"/>
          <w:lang w:val="uk-UA"/>
        </w:rPr>
      </w:pPr>
      <w:r w:rsidRPr="00B25E94">
        <w:rPr>
          <w:rFonts w:ascii="Times New Roman" w:hAnsi="Times New Roman" w:cs="Times New Roman"/>
          <w:sz w:val="20"/>
          <w:szCs w:val="2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B25E94">
        <w:rPr>
          <w:rFonts w:ascii="Times New Roman" w:hAnsi="Times New Roman" w:cs="Times New Roman"/>
          <w:sz w:val="20"/>
          <w:szCs w:val="20"/>
        </w:rPr>
        <w:t>17 Закону з урахуванням Особливостей подається по кожному з учасників, які входять у склад об’єднання окремо</w:t>
      </w:r>
    </w:p>
    <w:p w:rsidR="006B4F4A" w:rsidRPr="0096575B" w:rsidRDefault="00B25E94">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 </w:t>
      </w:r>
    </w:p>
    <w:p w:rsidR="006B4F4A" w:rsidRDefault="00B25E9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f2"/>
        <w:tblW w:w="9619" w:type="dxa"/>
        <w:tblInd w:w="-100" w:type="dxa"/>
        <w:tblLayout w:type="fixed"/>
        <w:tblLook w:val="0400"/>
      </w:tblPr>
      <w:tblGrid>
        <w:gridCol w:w="400"/>
        <w:gridCol w:w="9219"/>
      </w:tblGrid>
      <w:tr w:rsidR="006B4F4A">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B4F4A" w:rsidRDefault="00B25E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6B4F4A">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F4A" w:rsidRDefault="00B25E94">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F4A" w:rsidRDefault="00B25E9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B4F4A">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F4A" w:rsidRDefault="00B25E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F4A" w:rsidRDefault="00B25E94">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6B4F4A">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F4A" w:rsidRDefault="00B25E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F4A" w:rsidRDefault="00B25E94">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6B4F4A" w:rsidRDefault="00B25E94">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bl>
    <w:p w:rsidR="006B4F4A" w:rsidRDefault="006B4F4A">
      <w:pPr>
        <w:spacing w:after="0" w:line="240" w:lineRule="auto"/>
        <w:rPr>
          <w:rFonts w:ascii="Times New Roman" w:eastAsia="Times New Roman" w:hAnsi="Times New Roman" w:cs="Times New Roman"/>
          <w:sz w:val="20"/>
          <w:szCs w:val="20"/>
        </w:rPr>
      </w:pPr>
    </w:p>
    <w:sectPr w:rsidR="006B4F4A" w:rsidSect="001F62AB">
      <w:footerReference w:type="default" r:id="rId19"/>
      <w:pgSz w:w="11906" w:h="16838"/>
      <w:pgMar w:top="850" w:right="850" w:bottom="850" w:left="1417" w:header="708" w:footer="708" w:gutter="0"/>
      <w:pgNumType w:start="2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365" w:rsidRDefault="00EF1365" w:rsidP="001F62AB">
      <w:pPr>
        <w:spacing w:after="0" w:line="240" w:lineRule="auto"/>
      </w:pPr>
      <w:r>
        <w:separator/>
      </w:r>
    </w:p>
  </w:endnote>
  <w:endnote w:type="continuationSeparator" w:id="1">
    <w:p w:rsidR="00EF1365" w:rsidRDefault="00EF1365" w:rsidP="001F6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3215"/>
      <w:docPartObj>
        <w:docPartGallery w:val="Page Numbers (Bottom of Page)"/>
        <w:docPartUnique/>
      </w:docPartObj>
    </w:sdtPr>
    <w:sdtContent>
      <w:p w:rsidR="001F62AB" w:rsidRDefault="001F62AB">
        <w:pPr>
          <w:pStyle w:val="af7"/>
          <w:jc w:val="right"/>
        </w:pPr>
        <w:fldSimple w:instr=" PAGE   \* MERGEFORMAT ">
          <w:r>
            <w:rPr>
              <w:noProof/>
            </w:rPr>
            <w:t>27</w:t>
          </w:r>
        </w:fldSimple>
      </w:p>
    </w:sdtContent>
  </w:sdt>
  <w:p w:rsidR="001F62AB" w:rsidRDefault="001F62A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365" w:rsidRDefault="00EF1365" w:rsidP="001F62AB">
      <w:pPr>
        <w:spacing w:after="0" w:line="240" w:lineRule="auto"/>
      </w:pPr>
      <w:r>
        <w:separator/>
      </w:r>
    </w:p>
  </w:footnote>
  <w:footnote w:type="continuationSeparator" w:id="1">
    <w:p w:rsidR="00EF1365" w:rsidRDefault="00EF1365" w:rsidP="001F62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2AB7"/>
    <w:multiLevelType w:val="hybridMultilevel"/>
    <w:tmpl w:val="FD04418E"/>
    <w:lvl w:ilvl="0" w:tplc="582ADD34">
      <w:start w:val="1"/>
      <w:numFmt w:val="bullet"/>
      <w:lvlText w:val=""/>
      <w:lvlJc w:val="left"/>
      <w:pPr>
        <w:ind w:left="1096" w:hanging="360"/>
      </w:pPr>
      <w:rPr>
        <w:rFonts w:ascii="Symbol" w:hAnsi="Symbol" w:hint="default"/>
        <w:color w:val="auto"/>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
    <w:nsid w:val="479971A3"/>
    <w:multiLevelType w:val="multilevel"/>
    <w:tmpl w:val="37260A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21A6A81"/>
    <w:multiLevelType w:val="hybridMultilevel"/>
    <w:tmpl w:val="F466B28A"/>
    <w:lvl w:ilvl="0" w:tplc="C10A39C0">
      <w:start w:val="1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4F4A"/>
    <w:rsid w:val="001053C5"/>
    <w:rsid w:val="001F62AB"/>
    <w:rsid w:val="005175A0"/>
    <w:rsid w:val="006B4F4A"/>
    <w:rsid w:val="006E43C8"/>
    <w:rsid w:val="0096575B"/>
    <w:rsid w:val="00AB300C"/>
    <w:rsid w:val="00B25E94"/>
    <w:rsid w:val="00EF1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4A"/>
  </w:style>
  <w:style w:type="paragraph" w:styleId="1">
    <w:name w:val="heading 1"/>
    <w:basedOn w:val="a"/>
    <w:next w:val="a"/>
    <w:rsid w:val="006B4F4A"/>
    <w:pPr>
      <w:keepNext/>
      <w:keepLines/>
      <w:spacing w:before="480" w:after="120"/>
      <w:outlineLvl w:val="0"/>
    </w:pPr>
    <w:rPr>
      <w:b/>
      <w:sz w:val="48"/>
      <w:szCs w:val="48"/>
    </w:rPr>
  </w:style>
  <w:style w:type="paragraph" w:styleId="2">
    <w:name w:val="heading 2"/>
    <w:basedOn w:val="a"/>
    <w:next w:val="a"/>
    <w:rsid w:val="006B4F4A"/>
    <w:pPr>
      <w:keepNext/>
      <w:keepLines/>
      <w:spacing w:before="360" w:after="80"/>
      <w:outlineLvl w:val="1"/>
    </w:pPr>
    <w:rPr>
      <w:b/>
      <w:sz w:val="36"/>
      <w:szCs w:val="36"/>
    </w:rPr>
  </w:style>
  <w:style w:type="paragraph" w:styleId="3">
    <w:name w:val="heading 3"/>
    <w:basedOn w:val="a"/>
    <w:next w:val="a"/>
    <w:rsid w:val="006B4F4A"/>
    <w:pPr>
      <w:keepNext/>
      <w:keepLines/>
      <w:spacing w:before="280" w:after="80"/>
      <w:outlineLvl w:val="2"/>
    </w:pPr>
    <w:rPr>
      <w:b/>
      <w:sz w:val="28"/>
      <w:szCs w:val="28"/>
    </w:rPr>
  </w:style>
  <w:style w:type="paragraph" w:styleId="4">
    <w:name w:val="heading 4"/>
    <w:basedOn w:val="a"/>
    <w:next w:val="a"/>
    <w:rsid w:val="006B4F4A"/>
    <w:pPr>
      <w:keepNext/>
      <w:keepLines/>
      <w:spacing w:before="240" w:after="40"/>
      <w:outlineLvl w:val="3"/>
    </w:pPr>
    <w:rPr>
      <w:b/>
      <w:sz w:val="24"/>
      <w:szCs w:val="24"/>
    </w:rPr>
  </w:style>
  <w:style w:type="paragraph" w:styleId="5">
    <w:name w:val="heading 5"/>
    <w:basedOn w:val="a"/>
    <w:next w:val="a"/>
    <w:rsid w:val="006B4F4A"/>
    <w:pPr>
      <w:keepNext/>
      <w:keepLines/>
      <w:spacing w:before="220" w:after="40"/>
      <w:outlineLvl w:val="4"/>
    </w:pPr>
    <w:rPr>
      <w:b/>
    </w:rPr>
  </w:style>
  <w:style w:type="paragraph" w:styleId="6">
    <w:name w:val="heading 6"/>
    <w:basedOn w:val="a"/>
    <w:next w:val="a"/>
    <w:rsid w:val="006B4F4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B4F4A"/>
  </w:style>
  <w:style w:type="table" w:customStyle="1" w:styleId="TableNormal">
    <w:name w:val="Table Normal"/>
    <w:rsid w:val="006B4F4A"/>
    <w:tblPr>
      <w:tblCellMar>
        <w:top w:w="0" w:type="dxa"/>
        <w:left w:w="0" w:type="dxa"/>
        <w:bottom w:w="0" w:type="dxa"/>
        <w:right w:w="0" w:type="dxa"/>
      </w:tblCellMar>
    </w:tblPr>
  </w:style>
  <w:style w:type="paragraph" w:styleId="a3">
    <w:name w:val="Title"/>
    <w:basedOn w:val="a"/>
    <w:next w:val="a"/>
    <w:rsid w:val="006B4F4A"/>
    <w:pPr>
      <w:keepNext/>
      <w:keepLines/>
      <w:spacing w:before="480" w:after="120"/>
    </w:pPr>
    <w:rPr>
      <w:b/>
      <w:sz w:val="72"/>
      <w:szCs w:val="72"/>
    </w:rPr>
  </w:style>
  <w:style w:type="table" w:customStyle="1" w:styleId="TableNormal0">
    <w:name w:val="Table Normal"/>
    <w:rsid w:val="006B4F4A"/>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6B4F4A"/>
    <w:pPr>
      <w:keepNext/>
      <w:keepLines/>
      <w:spacing w:before="360" w:after="80"/>
    </w:pPr>
    <w:rPr>
      <w:rFonts w:ascii="Georgia" w:eastAsia="Georgia" w:hAnsi="Georgia" w:cs="Georgia"/>
      <w:i/>
      <w:color w:val="666666"/>
      <w:sz w:val="48"/>
      <w:szCs w:val="48"/>
    </w:rPr>
  </w:style>
  <w:style w:type="table" w:customStyle="1" w:styleId="a8">
    <w:basedOn w:val="TableNormal0"/>
    <w:rsid w:val="006B4F4A"/>
    <w:tblPr>
      <w:tblStyleRowBandSize w:val="1"/>
      <w:tblStyleColBandSize w:val="1"/>
      <w:tblCellMar>
        <w:top w:w="15" w:type="dxa"/>
        <w:left w:w="15" w:type="dxa"/>
        <w:bottom w:w="15" w:type="dxa"/>
        <w:right w:w="15" w:type="dxa"/>
      </w:tblCellMar>
    </w:tblPr>
  </w:style>
  <w:style w:type="table" w:customStyle="1" w:styleId="a9">
    <w:basedOn w:val="TableNormal0"/>
    <w:rsid w:val="006B4F4A"/>
    <w:tblPr>
      <w:tblStyleRowBandSize w:val="1"/>
      <w:tblStyleColBandSize w:val="1"/>
      <w:tblCellMar>
        <w:top w:w="15" w:type="dxa"/>
        <w:left w:w="15" w:type="dxa"/>
        <w:bottom w:w="15" w:type="dxa"/>
        <w:right w:w="15" w:type="dxa"/>
      </w:tblCellMar>
    </w:tblPr>
  </w:style>
  <w:style w:type="table" w:customStyle="1" w:styleId="aa">
    <w:basedOn w:val="TableNormal0"/>
    <w:rsid w:val="006B4F4A"/>
    <w:tblPr>
      <w:tblStyleRowBandSize w:val="1"/>
      <w:tblStyleColBandSize w:val="1"/>
      <w:tblCellMar>
        <w:top w:w="15" w:type="dxa"/>
        <w:left w:w="15" w:type="dxa"/>
        <w:bottom w:w="15" w:type="dxa"/>
        <w:right w:w="15" w:type="dxa"/>
      </w:tblCellMar>
    </w:tblPr>
  </w:style>
  <w:style w:type="table" w:customStyle="1" w:styleId="ab">
    <w:basedOn w:val="TableNormal0"/>
    <w:rsid w:val="006B4F4A"/>
    <w:tblPr>
      <w:tblStyleRowBandSize w:val="1"/>
      <w:tblStyleColBandSize w:val="1"/>
      <w:tblCellMar>
        <w:top w:w="15" w:type="dxa"/>
        <w:left w:w="15" w:type="dxa"/>
        <w:bottom w:w="15" w:type="dxa"/>
        <w:right w:w="15" w:type="dxa"/>
      </w:tblCellMar>
    </w:tblPr>
  </w:style>
  <w:style w:type="table" w:customStyle="1" w:styleId="ac">
    <w:basedOn w:val="TableNormal0"/>
    <w:rsid w:val="006B4F4A"/>
    <w:tblPr>
      <w:tblStyleRowBandSize w:val="1"/>
      <w:tblStyleColBandSize w:val="1"/>
      <w:tblCellMar>
        <w:top w:w="15" w:type="dxa"/>
        <w:left w:w="15" w:type="dxa"/>
        <w:bottom w:w="15" w:type="dxa"/>
        <w:right w:w="15" w:type="dxa"/>
      </w:tblCellMar>
    </w:tblPr>
  </w:style>
  <w:style w:type="table" w:customStyle="1" w:styleId="ad">
    <w:basedOn w:val="TableNormal0"/>
    <w:rsid w:val="006B4F4A"/>
    <w:tblPr>
      <w:tblStyleRowBandSize w:val="1"/>
      <w:tblStyleColBandSize w:val="1"/>
      <w:tblCellMar>
        <w:top w:w="15" w:type="dxa"/>
        <w:left w:w="15" w:type="dxa"/>
        <w:bottom w:w="15" w:type="dxa"/>
        <w:right w:w="15" w:type="dxa"/>
      </w:tblCellMar>
    </w:tblPr>
  </w:style>
  <w:style w:type="table" w:customStyle="1" w:styleId="ae">
    <w:basedOn w:val="TableNormal0"/>
    <w:rsid w:val="006B4F4A"/>
    <w:tblPr>
      <w:tblStyleRowBandSize w:val="1"/>
      <w:tblStyleColBandSize w:val="1"/>
      <w:tblCellMar>
        <w:top w:w="15" w:type="dxa"/>
        <w:left w:w="15" w:type="dxa"/>
        <w:bottom w:w="15" w:type="dxa"/>
        <w:right w:w="15" w:type="dxa"/>
      </w:tblCellMar>
    </w:tblPr>
  </w:style>
  <w:style w:type="table" w:customStyle="1" w:styleId="af">
    <w:basedOn w:val="TableNormal0"/>
    <w:rsid w:val="006B4F4A"/>
    <w:tblPr>
      <w:tblStyleRowBandSize w:val="1"/>
      <w:tblStyleColBandSize w:val="1"/>
      <w:tblCellMar>
        <w:top w:w="15" w:type="dxa"/>
        <w:left w:w="15" w:type="dxa"/>
        <w:bottom w:w="15" w:type="dxa"/>
        <w:right w:w="15" w:type="dxa"/>
      </w:tblCellMar>
    </w:tblPr>
  </w:style>
  <w:style w:type="table" w:customStyle="1" w:styleId="af0">
    <w:basedOn w:val="TableNormal0"/>
    <w:rsid w:val="006B4F4A"/>
    <w:tblPr>
      <w:tblStyleRowBandSize w:val="1"/>
      <w:tblStyleColBandSize w:val="1"/>
      <w:tblCellMar>
        <w:top w:w="15" w:type="dxa"/>
        <w:left w:w="15" w:type="dxa"/>
        <w:bottom w:w="15" w:type="dxa"/>
        <w:right w:w="15" w:type="dxa"/>
      </w:tblCellMar>
    </w:tblPr>
  </w:style>
  <w:style w:type="table" w:customStyle="1" w:styleId="af1">
    <w:basedOn w:val="TableNormal0"/>
    <w:rsid w:val="006B4F4A"/>
    <w:tblPr>
      <w:tblStyleRowBandSize w:val="1"/>
      <w:tblStyleColBandSize w:val="1"/>
      <w:tblCellMar>
        <w:top w:w="15" w:type="dxa"/>
        <w:left w:w="15" w:type="dxa"/>
        <w:bottom w:w="15" w:type="dxa"/>
        <w:right w:w="15" w:type="dxa"/>
      </w:tblCellMar>
    </w:tblPr>
  </w:style>
  <w:style w:type="table" w:customStyle="1" w:styleId="af2">
    <w:basedOn w:val="TableNormal0"/>
    <w:rsid w:val="006B4F4A"/>
    <w:tblPr>
      <w:tblStyleRowBandSize w:val="1"/>
      <w:tblStyleColBandSize w:val="1"/>
      <w:tblCellMar>
        <w:top w:w="15" w:type="dxa"/>
        <w:left w:w="15" w:type="dxa"/>
        <w:bottom w:w="15" w:type="dxa"/>
        <w:right w:w="15" w:type="dxa"/>
      </w:tblCellMar>
    </w:tblPr>
  </w:style>
  <w:style w:type="table" w:customStyle="1" w:styleId="af3">
    <w:basedOn w:val="TableNormal0"/>
    <w:rsid w:val="006B4F4A"/>
    <w:tblPr>
      <w:tblStyleRowBandSize w:val="1"/>
      <w:tblStyleColBandSize w:val="1"/>
      <w:tblCellMar>
        <w:top w:w="15" w:type="dxa"/>
        <w:left w:w="15" w:type="dxa"/>
        <w:bottom w:w="15" w:type="dxa"/>
        <w:right w:w="15" w:type="dxa"/>
      </w:tblCellMar>
    </w:tblPr>
  </w:style>
  <w:style w:type="table" w:customStyle="1" w:styleId="af4">
    <w:basedOn w:val="TableNormal0"/>
    <w:rsid w:val="006B4F4A"/>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96575B"/>
    <w:pPr>
      <w:spacing w:before="100" w:beforeAutospacing="1" w:after="100" w:afterAutospacing="1" w:line="240" w:lineRule="auto"/>
    </w:pPr>
    <w:rPr>
      <w:rFonts w:ascii="Times New Roman" w:hAnsi="Times New Roman" w:cs="Times New Roman"/>
      <w:sz w:val="24"/>
      <w:szCs w:val="24"/>
      <w:lang w:val="uk-UA" w:eastAsia="uk-UA"/>
    </w:rPr>
  </w:style>
  <w:style w:type="paragraph" w:styleId="af5">
    <w:name w:val="header"/>
    <w:basedOn w:val="a"/>
    <w:link w:val="af6"/>
    <w:uiPriority w:val="99"/>
    <w:semiHidden/>
    <w:unhideWhenUsed/>
    <w:rsid w:val="001F62AB"/>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1F62AB"/>
  </w:style>
  <w:style w:type="paragraph" w:styleId="af7">
    <w:name w:val="footer"/>
    <w:basedOn w:val="a"/>
    <w:link w:val="af8"/>
    <w:uiPriority w:val="99"/>
    <w:unhideWhenUsed/>
    <w:rsid w:val="001F62AB"/>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F62A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vytiah.mvs.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zo.gov.ua/verify" TargetMode="External"/><Relationship Id="rId17"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czo.gov.ua/verif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corruptinfo.nazk.gov.ua/" TargetMode="External"/><Relationship Id="rId10" Type="http://schemas.openxmlformats.org/officeDocument/2006/relationships/hyperlink" Target="https://corruptinfo.nazk.gov.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AMUW2mVYlUA0+dXYuMcOdJaC7lfy/iAXTvHxRfT47p6lgos/MRSJKUcpGU991JF25jDIBi8PBmUmZOITLyjjYG1TgDCwV5TkKlfG7a5JXr2YPlekpenaKR7W6M6R2UXkIJkwTW086Scz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2427</Words>
  <Characters>13837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PROZORRO</cp:lastModifiedBy>
  <cp:revision>5</cp:revision>
  <dcterms:created xsi:type="dcterms:W3CDTF">2022-10-24T07:10:00Z</dcterms:created>
  <dcterms:modified xsi:type="dcterms:W3CDTF">2022-12-18T11:18:00Z</dcterms:modified>
</cp:coreProperties>
</file>