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386E" w14:textId="77777777" w:rsidR="00534C1D" w:rsidRDefault="00806E75" w:rsidP="00806E75">
      <w:pPr>
        <w:spacing w:after="0" w:line="240" w:lineRule="auto"/>
        <w:ind w:left="56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805E8">
        <w:rPr>
          <w:rFonts w:ascii="Times New Roman" w:eastAsia="Times New Roman" w:hAnsi="Times New Roman" w:cs="Times New Roman"/>
          <w:b/>
          <w:color w:val="000000"/>
          <w:sz w:val="24"/>
          <w:szCs w:val="24"/>
        </w:rPr>
        <w:t>ДОДАТОК 2</w:t>
      </w:r>
    </w:p>
    <w:p w14:paraId="055BA8A2" w14:textId="77777777"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8610C12" w14:textId="77777777" w:rsidR="00F16F75" w:rsidRPr="002528A0" w:rsidRDefault="006805E8" w:rsidP="002528A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14:paraId="2E18D160" w14:textId="77777777" w:rsidR="008B145C" w:rsidRDefault="00F16F75">
      <w:pPr>
        <w:spacing w:after="0" w:line="240" w:lineRule="auto"/>
        <w:jc w:val="center"/>
        <w:rPr>
          <w:rFonts w:ascii="Times New Roman" w:eastAsia="Times New Roman" w:hAnsi="Times New Roman" w:cs="Times New Roman"/>
          <w:b/>
          <w:i/>
          <w:sz w:val="24"/>
          <w:szCs w:val="24"/>
        </w:rPr>
      </w:pPr>
      <w:r w:rsidRPr="00F16F75">
        <w:rPr>
          <w:rFonts w:ascii="Times New Roman" w:eastAsia="Times New Roman" w:hAnsi="Times New Roman" w:cs="Times New Roman"/>
          <w:b/>
          <w:i/>
          <w:sz w:val="24"/>
          <w:szCs w:val="24"/>
        </w:rPr>
        <w:t>МЕДИКО-ТЕХНІЧНІ ВИМОГИ</w:t>
      </w:r>
    </w:p>
    <w:p w14:paraId="09252A9E" w14:textId="77777777" w:rsidR="00F16F75" w:rsidRDefault="00F16F75">
      <w:pPr>
        <w:spacing w:after="0" w:line="240" w:lineRule="auto"/>
        <w:jc w:val="center"/>
        <w:rPr>
          <w:rFonts w:ascii="Times New Roman" w:eastAsia="Times New Roman" w:hAnsi="Times New Roman" w:cs="Times New Roman"/>
          <w:b/>
          <w:i/>
          <w:sz w:val="24"/>
          <w:szCs w:val="24"/>
        </w:rPr>
      </w:pPr>
    </w:p>
    <w:p w14:paraId="28666B71" w14:textId="77777777" w:rsidR="00100210" w:rsidRPr="00DC0160" w:rsidRDefault="00F162A1" w:rsidP="00100210">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00100210" w:rsidRPr="004F73F7">
        <w:rPr>
          <w:rFonts w:ascii="Times New Roman" w:eastAsia="SimSun" w:hAnsi="Times New Roman" w:cs="Times New Roman"/>
          <w:b/>
          <w:sz w:val="24"/>
          <w:szCs w:val="24"/>
          <w:lang w:eastAsia="en-US"/>
        </w:rPr>
        <w:t>38430000-8 - Детектори та аналізатори</w:t>
      </w:r>
      <w:r w:rsidR="00100210">
        <w:rPr>
          <w:rFonts w:ascii="Times New Roman" w:eastAsia="SimSun" w:hAnsi="Times New Roman" w:cs="Times New Roman"/>
          <w:b/>
          <w:sz w:val="24"/>
          <w:szCs w:val="24"/>
          <w:lang w:eastAsia="en-US"/>
        </w:rPr>
        <w:t xml:space="preserve"> </w:t>
      </w:r>
      <w:r w:rsidR="00100210" w:rsidRPr="00DC0160">
        <w:rPr>
          <w:rFonts w:ascii="Times New Roman" w:eastAsia="SimSun" w:hAnsi="Times New Roman" w:cs="Times New Roman"/>
          <w:b/>
          <w:sz w:val="24"/>
          <w:szCs w:val="24"/>
          <w:lang w:eastAsia="en-US"/>
        </w:rPr>
        <w:t xml:space="preserve">- </w:t>
      </w:r>
    </w:p>
    <w:p w14:paraId="7C349C1F" w14:textId="77777777" w:rsidR="00100210" w:rsidRDefault="00100210" w:rsidP="00100210">
      <w:pPr>
        <w:spacing w:after="0" w:line="240" w:lineRule="auto"/>
        <w:jc w:val="both"/>
        <w:rPr>
          <w:rFonts w:ascii="Times New Roman" w:eastAsia="Times New Roman" w:hAnsi="Times New Roman" w:cs="Times New Roman"/>
          <w:color w:val="000000"/>
          <w:sz w:val="24"/>
          <w:szCs w:val="24"/>
        </w:rPr>
      </w:pPr>
      <w:r w:rsidRPr="004F73F7">
        <w:rPr>
          <w:rFonts w:ascii="Times New Roman" w:eastAsia="SimSun" w:hAnsi="Times New Roman" w:cs="Times New Roman"/>
          <w:b/>
          <w:bCs/>
          <w:iCs/>
          <w:lang w:eastAsia="en-US"/>
        </w:rPr>
        <w:t xml:space="preserve">Аналізатор гематологічний автоматичний </w:t>
      </w:r>
      <w:r w:rsidRPr="00DC0160">
        <w:rPr>
          <w:rFonts w:ascii="Times New Roman" w:eastAsia="SimSun" w:hAnsi="Times New Roman" w:cs="Times New Roman"/>
          <w:b/>
          <w:bCs/>
          <w:iCs/>
          <w:lang w:eastAsia="en-US"/>
        </w:rPr>
        <w:t xml:space="preserve">(НК 024:2023 "Класифікатор медичних виробів": </w:t>
      </w:r>
      <w:r w:rsidRPr="004F73F7">
        <w:rPr>
          <w:rFonts w:ascii="Times New Roman" w:eastAsia="SimSun" w:hAnsi="Times New Roman" w:cs="Times New Roman"/>
          <w:b/>
          <w:bCs/>
          <w:iCs/>
          <w:lang w:eastAsia="en-US"/>
        </w:rPr>
        <w:t>35476 - Аналізатор гематологічний IVD (діагностика in vitro), автоматичний</w:t>
      </w:r>
      <w:r>
        <w:rPr>
          <w:rFonts w:ascii="Times New Roman" w:eastAsia="SimSun" w:hAnsi="Times New Roman" w:cs="Times New Roman"/>
          <w:b/>
          <w:bCs/>
          <w:iCs/>
          <w:lang w:eastAsia="en-US"/>
        </w:rPr>
        <w:t>)</w:t>
      </w:r>
    </w:p>
    <w:p w14:paraId="29E6C6AF" w14:textId="77777777" w:rsidR="0018215E" w:rsidRDefault="0018215E" w:rsidP="00CE3999">
      <w:pPr>
        <w:spacing w:after="0" w:line="240" w:lineRule="auto"/>
        <w:jc w:val="both"/>
        <w:rPr>
          <w:rFonts w:ascii="Times New Roman" w:eastAsia="Times New Roman" w:hAnsi="Times New Roman" w:cs="Times New Roman"/>
          <w:color w:val="000000"/>
          <w:sz w:val="24"/>
          <w:szCs w:val="24"/>
        </w:rPr>
      </w:pPr>
    </w:p>
    <w:p w14:paraId="43D98431" w14:textId="77777777"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AB11D2D" w14:textId="77777777" w:rsidR="007633DA" w:rsidRDefault="007633DA" w:rsidP="003D6A0B">
      <w:pPr>
        <w:spacing w:after="0" w:line="240" w:lineRule="auto"/>
        <w:jc w:val="center"/>
        <w:rPr>
          <w:rFonts w:ascii="Times New Roman" w:eastAsia="Times New Roman" w:hAnsi="Times New Roman" w:cs="Times New Roman"/>
          <w:sz w:val="24"/>
          <w:szCs w:val="24"/>
        </w:rPr>
      </w:pPr>
    </w:p>
    <w:p w14:paraId="47B904DD" w14:textId="3C3D5E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8E0293">
        <w:rPr>
          <w:rFonts w:ascii="Times New Roman" w:eastAsia="Times New Roman" w:hAnsi="Times New Roman" w:cs="Times New Roman"/>
          <w:b/>
          <w:sz w:val="24"/>
          <w:szCs w:val="24"/>
        </w:rPr>
        <w:t>поставки товару</w:t>
      </w:r>
      <w:r w:rsidRPr="006805E8">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1FFC70FF"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3287B0E4" w14:textId="77777777"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14:paraId="1A99F4E5" w14:textId="77777777"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F54B568" w14:textId="77777777"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14:paraId="0FC023D0" w14:textId="77777777"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592A8B8C" w14:textId="77777777"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50386169" w14:textId="77777777" w:rsidR="00534C1D" w:rsidRDefault="006805E8">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DBC1D69" w14:textId="0982240D"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63BFC0C" w14:textId="77777777" w:rsidR="004713B2" w:rsidRDefault="004713B2"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0AE80A3E" w14:textId="77777777" w:rsidR="003D54C5" w:rsidRDefault="003D54C5" w:rsidP="001755EE">
      <w:pPr>
        <w:shd w:val="clear" w:color="auto" w:fill="FFFFFF"/>
        <w:spacing w:after="0" w:line="240" w:lineRule="auto"/>
        <w:ind w:firstLine="460"/>
        <w:jc w:val="both"/>
        <w:rPr>
          <w:rFonts w:ascii="Times New Roman" w:eastAsia="Times New Roman" w:hAnsi="Times New Roman" w:cs="Times New Roman"/>
          <w:sz w:val="24"/>
          <w:szCs w:val="24"/>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D54C5" w:rsidRPr="008C63AE" w14:paraId="1015B8A4" w14:textId="77777777" w:rsidTr="003F0B86">
        <w:tc>
          <w:tcPr>
            <w:tcW w:w="4740" w:type="dxa"/>
            <w:shd w:val="clear" w:color="auto" w:fill="auto"/>
            <w:tcMar>
              <w:top w:w="100" w:type="dxa"/>
              <w:left w:w="100" w:type="dxa"/>
              <w:bottom w:w="100" w:type="dxa"/>
              <w:right w:w="100" w:type="dxa"/>
            </w:tcMar>
          </w:tcPr>
          <w:p w14:paraId="279CBE8C" w14:textId="77777777" w:rsidR="003D54C5" w:rsidRPr="008C63AE" w:rsidRDefault="003D54C5" w:rsidP="003F0B86">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lastRenderedPageBreak/>
              <w:t>Назва предмета закупівлі</w:t>
            </w:r>
          </w:p>
        </w:tc>
        <w:tc>
          <w:tcPr>
            <w:tcW w:w="4860" w:type="dxa"/>
            <w:shd w:val="clear" w:color="auto" w:fill="auto"/>
            <w:tcMar>
              <w:top w:w="100" w:type="dxa"/>
              <w:left w:w="100" w:type="dxa"/>
              <w:bottom w:w="100" w:type="dxa"/>
              <w:right w:w="100" w:type="dxa"/>
            </w:tcMar>
          </w:tcPr>
          <w:p w14:paraId="4346D993" w14:textId="5B01432F" w:rsidR="003D54C5" w:rsidRPr="008C63AE" w:rsidRDefault="003D54C5" w:rsidP="003F0B86">
            <w:pPr>
              <w:widowControl w:val="0"/>
              <w:spacing w:after="0" w:line="240" w:lineRule="auto"/>
              <w:rPr>
                <w:rFonts w:ascii="Times New Roman" w:eastAsia="Times New Roman" w:hAnsi="Times New Roman" w:cs="Times New Roman"/>
                <w:sz w:val="24"/>
                <w:szCs w:val="24"/>
                <w:highlight w:val="white"/>
              </w:rPr>
            </w:pPr>
            <w:r w:rsidRPr="003D54C5">
              <w:rPr>
                <w:rFonts w:ascii="Times New Roman" w:hAnsi="Times New Roman" w:cs="Times New Roman"/>
                <w:sz w:val="24"/>
                <w:szCs w:val="24"/>
              </w:rPr>
              <w:t>Аналізатор гематологічний автоматичний (НК 024:2023 "Класифікатор медичних виробів": 35476 - Аналізатор гематологічний IVD (діагностика in vitro), автоматичний)</w:t>
            </w:r>
          </w:p>
        </w:tc>
      </w:tr>
      <w:tr w:rsidR="009C3114" w:rsidRPr="008C63AE" w14:paraId="257C776D" w14:textId="77777777" w:rsidTr="003F0B86">
        <w:tc>
          <w:tcPr>
            <w:tcW w:w="4740" w:type="dxa"/>
            <w:shd w:val="clear" w:color="auto" w:fill="auto"/>
            <w:tcMar>
              <w:top w:w="100" w:type="dxa"/>
              <w:left w:w="100" w:type="dxa"/>
              <w:bottom w:w="100" w:type="dxa"/>
              <w:right w:w="100" w:type="dxa"/>
            </w:tcMar>
          </w:tcPr>
          <w:p w14:paraId="345BF4EB" w14:textId="0390F710" w:rsidR="009C3114" w:rsidRPr="008C63AE" w:rsidRDefault="009C3114" w:rsidP="003F0B86">
            <w:pPr>
              <w:widowControl w:val="0"/>
              <w:spacing w:after="0" w:line="240" w:lineRule="auto"/>
              <w:rPr>
                <w:rFonts w:ascii="Times New Roman" w:eastAsia="Times New Roman" w:hAnsi="Times New Roman" w:cs="Times New Roman"/>
                <w:b/>
                <w:sz w:val="24"/>
                <w:szCs w:val="24"/>
                <w:highlight w:val="white"/>
              </w:rPr>
            </w:pPr>
            <w:r w:rsidRPr="009C3114">
              <w:rPr>
                <w:rFonts w:ascii="Times New Roman" w:eastAsia="Times New Roman" w:hAnsi="Times New Roman" w:cs="Times New Roman"/>
                <w:b/>
                <w:sz w:val="24"/>
                <w:szCs w:val="24"/>
              </w:rPr>
              <w:t>Кількість</w:t>
            </w:r>
            <w:r>
              <w:rPr>
                <w:rFonts w:ascii="Times New Roman" w:eastAsia="Times New Roman" w:hAnsi="Times New Roman" w:cs="Times New Roman"/>
                <w:b/>
                <w:sz w:val="24"/>
                <w:szCs w:val="24"/>
              </w:rPr>
              <w:t xml:space="preserve"> / </w:t>
            </w:r>
            <w:r w:rsidRPr="009C3114">
              <w:rPr>
                <w:rFonts w:ascii="Times New Roman" w:eastAsia="Times New Roman" w:hAnsi="Times New Roman" w:cs="Times New Roman"/>
                <w:b/>
                <w:sz w:val="24"/>
                <w:szCs w:val="24"/>
              </w:rPr>
              <w:t>Одиниця виміру</w:t>
            </w:r>
          </w:p>
        </w:tc>
        <w:tc>
          <w:tcPr>
            <w:tcW w:w="4860" w:type="dxa"/>
            <w:shd w:val="clear" w:color="auto" w:fill="auto"/>
            <w:tcMar>
              <w:top w:w="100" w:type="dxa"/>
              <w:left w:w="100" w:type="dxa"/>
              <w:bottom w:w="100" w:type="dxa"/>
              <w:right w:w="100" w:type="dxa"/>
            </w:tcMar>
          </w:tcPr>
          <w:p w14:paraId="46CF9B0F" w14:textId="63ED3255" w:rsidR="009C3114" w:rsidRPr="003D54C5" w:rsidRDefault="009C3114" w:rsidP="003F0B8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1 штука</w:t>
            </w:r>
          </w:p>
        </w:tc>
      </w:tr>
      <w:tr w:rsidR="003D54C5" w:rsidRPr="008C63AE" w14:paraId="239E414D" w14:textId="77777777" w:rsidTr="003F0B86">
        <w:tc>
          <w:tcPr>
            <w:tcW w:w="4740" w:type="dxa"/>
            <w:shd w:val="clear" w:color="auto" w:fill="auto"/>
            <w:tcMar>
              <w:top w:w="100" w:type="dxa"/>
              <w:left w:w="100" w:type="dxa"/>
              <w:bottom w:w="100" w:type="dxa"/>
              <w:right w:w="100" w:type="dxa"/>
            </w:tcMar>
          </w:tcPr>
          <w:p w14:paraId="2C59360F" w14:textId="77777777" w:rsidR="003D54C5" w:rsidRPr="008C63AE" w:rsidRDefault="003D54C5" w:rsidP="003F0B86">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14:paraId="757BA60D" w14:textId="0AC3DAA9" w:rsidR="003D54C5" w:rsidRPr="008C63AE" w:rsidRDefault="003D54C5" w:rsidP="003F0B86">
            <w:pPr>
              <w:widowControl w:val="0"/>
              <w:spacing w:after="0" w:line="240" w:lineRule="auto"/>
              <w:rPr>
                <w:rFonts w:ascii="Times New Roman" w:eastAsia="Times New Roman" w:hAnsi="Times New Roman" w:cs="Times New Roman"/>
                <w:sz w:val="24"/>
                <w:szCs w:val="24"/>
                <w:highlight w:val="white"/>
              </w:rPr>
            </w:pPr>
            <w:r w:rsidRPr="003D54C5">
              <w:rPr>
                <w:rFonts w:ascii="Times New Roman" w:hAnsi="Times New Roman" w:cs="Times New Roman"/>
                <w:sz w:val="24"/>
                <w:szCs w:val="24"/>
              </w:rPr>
              <w:t>38430000-8 - Детектори та аналізатори</w:t>
            </w:r>
          </w:p>
        </w:tc>
      </w:tr>
      <w:tr w:rsidR="003D54C5" w:rsidRPr="008C63AE" w14:paraId="4DEAE008" w14:textId="77777777" w:rsidTr="003F0B86">
        <w:tc>
          <w:tcPr>
            <w:tcW w:w="4740" w:type="dxa"/>
            <w:shd w:val="clear" w:color="auto" w:fill="auto"/>
            <w:tcMar>
              <w:top w:w="100" w:type="dxa"/>
              <w:left w:w="100" w:type="dxa"/>
              <w:bottom w:w="100" w:type="dxa"/>
              <w:right w:w="100" w:type="dxa"/>
            </w:tcMar>
          </w:tcPr>
          <w:p w14:paraId="093BF520" w14:textId="77777777" w:rsidR="003D54C5" w:rsidRPr="008C63AE" w:rsidRDefault="003D54C5" w:rsidP="003F0B86">
            <w:pPr>
              <w:widowControl w:val="0"/>
              <w:spacing w:after="0" w:line="240" w:lineRule="auto"/>
              <w:rPr>
                <w:rFonts w:ascii="Times New Roman" w:eastAsia="Times New Roman" w:hAnsi="Times New Roman" w:cs="Times New Roman"/>
                <w:b/>
                <w:sz w:val="24"/>
                <w:szCs w:val="24"/>
              </w:rPr>
            </w:pPr>
            <w:r w:rsidRPr="008C63AE">
              <w:rPr>
                <w:rFonts w:ascii="Times New Roman" w:eastAsia="Times New Roman" w:hAnsi="Times New Roman" w:cs="Times New Roman"/>
                <w:b/>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AD2393E" w14:textId="3CCC8064" w:rsidR="003D54C5" w:rsidRPr="008C63AE" w:rsidRDefault="003D54C5" w:rsidP="003F0B86">
            <w:pPr>
              <w:widowControl w:val="0"/>
              <w:spacing w:after="0" w:line="240" w:lineRule="auto"/>
              <w:rPr>
                <w:rFonts w:ascii="Times New Roman" w:eastAsia="Times New Roman" w:hAnsi="Times New Roman" w:cs="Times New Roman"/>
                <w:sz w:val="24"/>
                <w:szCs w:val="24"/>
                <w:highlight w:val="white"/>
              </w:rPr>
            </w:pPr>
            <w:r w:rsidRPr="003D54C5">
              <w:rPr>
                <w:rFonts w:ascii="Times New Roman" w:hAnsi="Times New Roman" w:cs="Times New Roman"/>
                <w:sz w:val="24"/>
                <w:szCs w:val="24"/>
              </w:rPr>
              <w:t>ДК 021:2015: 38434570-2 - Гематологічні аналізатори</w:t>
            </w:r>
            <w:r w:rsidRPr="003D54C5">
              <w:rPr>
                <w:rFonts w:ascii="Times New Roman" w:hAnsi="Times New Roman" w:cs="Times New Roman"/>
                <w:sz w:val="24"/>
                <w:szCs w:val="24"/>
                <w:highlight w:val="white"/>
              </w:rPr>
              <w:t xml:space="preserve"> </w:t>
            </w:r>
          </w:p>
        </w:tc>
      </w:tr>
      <w:tr w:rsidR="003D54C5" w:rsidRPr="008C63AE" w14:paraId="7EC30476" w14:textId="77777777" w:rsidTr="004713B2">
        <w:trPr>
          <w:trHeight w:val="592"/>
        </w:trPr>
        <w:tc>
          <w:tcPr>
            <w:tcW w:w="4740" w:type="dxa"/>
            <w:shd w:val="clear" w:color="auto" w:fill="auto"/>
            <w:tcMar>
              <w:top w:w="100" w:type="dxa"/>
              <w:left w:w="100" w:type="dxa"/>
              <w:bottom w:w="100" w:type="dxa"/>
              <w:right w:w="100" w:type="dxa"/>
            </w:tcMar>
          </w:tcPr>
          <w:p w14:paraId="46A16AF2" w14:textId="77777777" w:rsidR="003D54C5" w:rsidRPr="008C63AE" w:rsidRDefault="003D54C5" w:rsidP="003F0B86">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14:paraId="3990B02A" w14:textId="60E72524" w:rsidR="003D54C5" w:rsidRPr="008C63AE" w:rsidRDefault="003D54C5" w:rsidP="003F0B86">
            <w:pPr>
              <w:spacing w:before="20"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вулиця Клушина</w:t>
            </w:r>
            <w:r w:rsidRPr="00F73B96">
              <w:rPr>
                <w:rFonts w:ascii="Times New Roman" w:hAnsi="Times New Roman" w:cs="Times New Roman"/>
                <w:sz w:val="24"/>
                <w:szCs w:val="24"/>
                <w:lang w:eastAsia="en-US"/>
              </w:rPr>
              <w:t>, 6, м. Ізмаїл Ізмаїльського району Одеської області, Україна, 68600</w:t>
            </w:r>
          </w:p>
        </w:tc>
      </w:tr>
      <w:tr w:rsidR="003D54C5" w:rsidRPr="008C63AE" w14:paraId="6BE5A012" w14:textId="77777777" w:rsidTr="003F0B86">
        <w:tc>
          <w:tcPr>
            <w:tcW w:w="4740" w:type="dxa"/>
            <w:shd w:val="clear" w:color="auto" w:fill="auto"/>
            <w:tcMar>
              <w:top w:w="100" w:type="dxa"/>
              <w:left w:w="100" w:type="dxa"/>
              <w:bottom w:w="100" w:type="dxa"/>
              <w:right w:w="100" w:type="dxa"/>
            </w:tcMar>
          </w:tcPr>
          <w:p w14:paraId="1A8F0E78" w14:textId="77777777" w:rsidR="003D54C5" w:rsidRPr="008C63AE" w:rsidRDefault="003D54C5" w:rsidP="003F0B86">
            <w:pPr>
              <w:widowControl w:val="0"/>
              <w:spacing w:after="0" w:line="240" w:lineRule="auto"/>
              <w:rPr>
                <w:rFonts w:ascii="Times New Roman" w:eastAsia="Times New Roman" w:hAnsi="Times New Roman" w:cs="Times New Roman"/>
                <w:b/>
                <w:sz w:val="24"/>
                <w:szCs w:val="24"/>
                <w:highlight w:val="white"/>
              </w:rPr>
            </w:pPr>
            <w:r w:rsidRPr="008C63AE">
              <w:rPr>
                <w:rFonts w:ascii="Times New Roman" w:eastAsia="Times New Roman" w:hAnsi="Times New Roman" w:cs="Times New Roman"/>
                <w:b/>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14:paraId="7D2ABEC6" w14:textId="1034DF9F" w:rsidR="003D54C5" w:rsidRPr="008C63AE" w:rsidRDefault="003D54C5" w:rsidP="003F0B8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8C63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w:t>
            </w:r>
            <w:r w:rsidRPr="008C63AE">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8C63A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8C63AE">
              <w:rPr>
                <w:rFonts w:ascii="Times New Roman" w:eastAsia="Times New Roman" w:hAnsi="Times New Roman" w:cs="Times New Roman"/>
                <w:sz w:val="24"/>
                <w:szCs w:val="24"/>
              </w:rPr>
              <w:t xml:space="preserve"> року </w:t>
            </w:r>
            <w:r>
              <w:rPr>
                <w:rFonts w:ascii="Times New Roman" w:eastAsia="Times New Roman" w:hAnsi="Times New Roman" w:cs="Times New Roman"/>
                <w:sz w:val="24"/>
                <w:szCs w:val="24"/>
              </w:rPr>
              <w:t>включно</w:t>
            </w:r>
          </w:p>
        </w:tc>
      </w:tr>
    </w:tbl>
    <w:p w14:paraId="5DD7BC36" w14:textId="77777777" w:rsidR="005542F0" w:rsidRDefault="005542F0" w:rsidP="001755EE">
      <w:pPr>
        <w:shd w:val="clear" w:color="auto" w:fill="FFFFFF"/>
        <w:spacing w:after="0" w:line="240" w:lineRule="auto"/>
        <w:ind w:firstLine="460"/>
        <w:jc w:val="both"/>
        <w:rPr>
          <w:rFonts w:ascii="Times New Roman" w:eastAsia="Times New Roman" w:hAnsi="Times New Roman" w:cs="Times New Roman"/>
          <w:sz w:val="24"/>
          <w:szCs w:val="24"/>
        </w:rPr>
      </w:pPr>
    </w:p>
    <w:p w14:paraId="6AD60C22" w14:textId="77777777" w:rsidR="00100210" w:rsidRPr="00100210" w:rsidRDefault="00100210" w:rsidP="00100210">
      <w:pPr>
        <w:widowControl w:val="0"/>
        <w:tabs>
          <w:tab w:val="left" w:pos="0"/>
        </w:tabs>
        <w:suppressAutoHyphens/>
        <w:autoSpaceDE w:val="0"/>
        <w:spacing w:after="0" w:line="240" w:lineRule="auto"/>
        <w:ind w:firstLine="567"/>
        <w:jc w:val="both"/>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 w:val="24"/>
          <w:szCs w:val="24"/>
          <w:lang w:eastAsia="ar-SA"/>
        </w:rPr>
        <w:t xml:space="preserve">  Технічні та якісні характеристики предмета закупівлі повинні відповідати або бути ліпшими за показники, наведені у наступній таблиці (або еквівалент, аналог тощо).</w:t>
      </w:r>
    </w:p>
    <w:p w14:paraId="309C60A0" w14:textId="77DD4121" w:rsidR="00100210" w:rsidRPr="00100210" w:rsidRDefault="00100210" w:rsidP="00100210">
      <w:pPr>
        <w:widowControl w:val="0"/>
        <w:tabs>
          <w:tab w:val="num" w:pos="720"/>
          <w:tab w:val="left" w:pos="1440"/>
        </w:tabs>
        <w:suppressAutoHyphens/>
        <w:autoSpaceDE w:val="0"/>
        <w:spacing w:after="0" w:line="240" w:lineRule="auto"/>
        <w:ind w:firstLine="709"/>
        <w:jc w:val="both"/>
        <w:rPr>
          <w:rFonts w:ascii="Times New Roman CYR" w:eastAsia="Times New Roman" w:hAnsi="Times New Roman CYR" w:cs="Times New Roman CYR"/>
          <w:b/>
          <w:sz w:val="24"/>
          <w:szCs w:val="24"/>
          <w:lang w:eastAsia="ar-SA"/>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520"/>
        <w:gridCol w:w="1559"/>
        <w:gridCol w:w="1560"/>
      </w:tblGrid>
      <w:tr w:rsidR="00100210" w:rsidRPr="00100210" w14:paraId="246A63F0" w14:textId="77777777" w:rsidTr="00100210">
        <w:trPr>
          <w:trHeight w:val="1025"/>
        </w:trPr>
        <w:tc>
          <w:tcPr>
            <w:tcW w:w="852" w:type="dxa"/>
            <w:shd w:val="clear" w:color="auto" w:fill="auto"/>
            <w:vAlign w:val="center"/>
          </w:tcPr>
          <w:p w14:paraId="7A339FBB"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0"/>
                <w:szCs w:val="20"/>
                <w:lang w:val="ru-RU" w:eastAsia="ja-JP"/>
              </w:rPr>
            </w:pPr>
            <w:r w:rsidRPr="00100210">
              <w:rPr>
                <w:rFonts w:ascii="Times New Roman CYR" w:eastAsia="MS Mincho" w:hAnsi="Times New Roman CYR" w:cs="Times New Roman CYR"/>
                <w:b/>
                <w:bCs/>
                <w:sz w:val="20"/>
                <w:szCs w:val="20"/>
                <w:lang w:val="ru-RU" w:eastAsia="ja-JP"/>
              </w:rPr>
              <w:t>№ п/п</w:t>
            </w:r>
          </w:p>
        </w:tc>
        <w:tc>
          <w:tcPr>
            <w:tcW w:w="6520" w:type="dxa"/>
            <w:shd w:val="clear" w:color="auto" w:fill="auto"/>
            <w:vAlign w:val="center"/>
          </w:tcPr>
          <w:p w14:paraId="2983BF52"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0"/>
                <w:szCs w:val="20"/>
                <w:lang w:val="ru-RU" w:eastAsia="ja-JP"/>
              </w:rPr>
            </w:pPr>
            <w:r w:rsidRPr="00100210">
              <w:rPr>
                <w:rFonts w:ascii="Times New Roman CYR" w:eastAsia="MS Mincho" w:hAnsi="Times New Roman CYR" w:cs="Times New Roman CYR"/>
                <w:b/>
                <w:bCs/>
                <w:sz w:val="20"/>
                <w:szCs w:val="20"/>
                <w:lang w:eastAsia="ja-JP"/>
              </w:rPr>
              <w:t>Найменування технічних параметрів</w:t>
            </w:r>
          </w:p>
        </w:tc>
        <w:tc>
          <w:tcPr>
            <w:tcW w:w="1559" w:type="dxa"/>
            <w:shd w:val="clear" w:color="auto" w:fill="auto"/>
            <w:vAlign w:val="center"/>
          </w:tcPr>
          <w:p w14:paraId="3E4F8654" w14:textId="77777777" w:rsidR="00100210" w:rsidRPr="00100210" w:rsidRDefault="00100210" w:rsidP="00100210">
            <w:pPr>
              <w:widowControl w:val="0"/>
              <w:tabs>
                <w:tab w:val="left" w:pos="567"/>
              </w:tabs>
              <w:suppressAutoHyphens/>
              <w:autoSpaceDE w:val="0"/>
              <w:spacing w:after="0" w:line="240" w:lineRule="auto"/>
              <w:jc w:val="center"/>
              <w:rPr>
                <w:rFonts w:ascii="Times New Roman CYR" w:eastAsia="MS Mincho" w:hAnsi="Times New Roman CYR" w:cs="Times New Roman CYR"/>
                <w:b/>
                <w:bCs/>
                <w:sz w:val="20"/>
                <w:szCs w:val="20"/>
                <w:lang w:eastAsia="ja-JP"/>
              </w:rPr>
            </w:pPr>
            <w:r w:rsidRPr="00100210">
              <w:rPr>
                <w:rFonts w:ascii="Times New Roman CYR" w:eastAsia="MS Mincho" w:hAnsi="Times New Roman CYR" w:cs="Times New Roman CYR"/>
                <w:b/>
                <w:bCs/>
                <w:sz w:val="20"/>
                <w:szCs w:val="20"/>
                <w:lang w:eastAsia="ja-JP"/>
              </w:rPr>
              <w:t>Відповідність</w:t>
            </w:r>
          </w:p>
          <w:p w14:paraId="0BE120AE"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0"/>
                <w:szCs w:val="20"/>
                <w:lang w:val="ru-RU" w:eastAsia="ja-JP"/>
              </w:rPr>
            </w:pPr>
            <w:r w:rsidRPr="00100210">
              <w:rPr>
                <w:rFonts w:ascii="Times New Roman CYR" w:eastAsia="MS Mincho" w:hAnsi="Times New Roman CYR" w:cs="Times New Roman CYR"/>
                <w:b/>
                <w:bCs/>
                <w:sz w:val="20"/>
                <w:szCs w:val="20"/>
                <w:lang w:eastAsia="ja-JP"/>
              </w:rPr>
              <w:t>так/ні</w:t>
            </w:r>
          </w:p>
        </w:tc>
        <w:tc>
          <w:tcPr>
            <w:tcW w:w="1560" w:type="dxa"/>
            <w:shd w:val="clear" w:color="auto" w:fill="auto"/>
          </w:tcPr>
          <w:p w14:paraId="56AF76B8"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0"/>
                <w:szCs w:val="20"/>
                <w:lang w:val="ru-RU" w:eastAsia="ja-JP"/>
              </w:rPr>
            </w:pPr>
            <w:r w:rsidRPr="00100210">
              <w:rPr>
                <w:rFonts w:ascii="Times New Roman CYR" w:eastAsia="Times New Roman" w:hAnsi="Times New Roman CYR" w:cs="Times New Roman CYR"/>
                <w:b/>
                <w:sz w:val="20"/>
                <w:szCs w:val="20"/>
                <w:lang w:eastAsia="ar-SA"/>
              </w:rPr>
              <w:t>Посилання на офіційне джерело інформації виробника або технічну документацію</w:t>
            </w:r>
          </w:p>
        </w:tc>
      </w:tr>
      <w:tr w:rsidR="00100210" w:rsidRPr="00100210" w14:paraId="232BB07D" w14:textId="77777777" w:rsidTr="00100210">
        <w:trPr>
          <w:trHeight w:val="287"/>
        </w:trPr>
        <w:tc>
          <w:tcPr>
            <w:tcW w:w="852" w:type="dxa"/>
            <w:vAlign w:val="center"/>
          </w:tcPr>
          <w:p w14:paraId="2088A1AA"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p>
        </w:tc>
        <w:tc>
          <w:tcPr>
            <w:tcW w:w="6520" w:type="dxa"/>
            <w:vAlign w:val="center"/>
          </w:tcPr>
          <w:p w14:paraId="34AEC86E" w14:textId="0C83D4C3"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r w:rsidRPr="00100210">
              <w:rPr>
                <w:rFonts w:ascii="Times New Roman CYR" w:eastAsia="MS Mincho" w:hAnsi="Times New Roman CYR" w:cs="Times New Roman CYR"/>
                <w:b/>
                <w:bCs/>
                <w:szCs w:val="24"/>
                <w:lang w:val="ru-RU" w:eastAsia="ja-JP"/>
              </w:rPr>
              <w:t>1. Загальні вимоги:</w:t>
            </w:r>
          </w:p>
        </w:tc>
        <w:tc>
          <w:tcPr>
            <w:tcW w:w="1559" w:type="dxa"/>
            <w:vAlign w:val="center"/>
          </w:tcPr>
          <w:p w14:paraId="304BFD5A"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p>
        </w:tc>
        <w:tc>
          <w:tcPr>
            <w:tcW w:w="1560" w:type="dxa"/>
            <w:vAlign w:val="center"/>
          </w:tcPr>
          <w:p w14:paraId="6E4333EB"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p>
        </w:tc>
      </w:tr>
      <w:tr w:rsidR="00100210" w:rsidRPr="00100210" w14:paraId="43410C0E" w14:textId="77777777" w:rsidTr="00100210">
        <w:trPr>
          <w:trHeight w:val="436"/>
        </w:trPr>
        <w:tc>
          <w:tcPr>
            <w:tcW w:w="852" w:type="dxa"/>
          </w:tcPr>
          <w:p w14:paraId="5E1E7776" w14:textId="77777777" w:rsidR="00100210" w:rsidRPr="00100210" w:rsidRDefault="00100210" w:rsidP="00100210">
            <w:pPr>
              <w:widowControl w:val="0"/>
              <w:suppressAutoHyphens/>
              <w:autoSpaceDE w:val="0"/>
              <w:autoSpaceDN w:val="0"/>
              <w:adjustRightInd w:val="0"/>
              <w:spacing w:after="0" w:line="240" w:lineRule="auto"/>
              <w:rPr>
                <w:rFonts w:ascii="Times New Roman CYR" w:eastAsia="MS Mincho" w:hAnsi="Times New Roman CYR" w:cs="Times New Roman CYR"/>
                <w:bCs/>
                <w:sz w:val="24"/>
                <w:szCs w:val="24"/>
                <w:lang w:val="ru-RU" w:eastAsia="ja-JP"/>
              </w:rPr>
            </w:pPr>
            <w:r w:rsidRPr="00100210">
              <w:rPr>
                <w:rFonts w:ascii="Times New Roman CYR" w:eastAsia="MS Mincho" w:hAnsi="Times New Roman CYR" w:cs="Times New Roman CYR"/>
                <w:bCs/>
                <w:szCs w:val="24"/>
                <w:lang w:val="ru-RU" w:eastAsia="ja-JP"/>
              </w:rPr>
              <w:t>1.1</w:t>
            </w:r>
          </w:p>
        </w:tc>
        <w:tc>
          <w:tcPr>
            <w:tcW w:w="6520" w:type="dxa"/>
          </w:tcPr>
          <w:p w14:paraId="51D9D1B8" w14:textId="77777777" w:rsidR="00100210" w:rsidRPr="00100210" w:rsidRDefault="00100210" w:rsidP="00100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lang w:eastAsia="ar-SA"/>
              </w:rPr>
            </w:pPr>
            <w:r w:rsidRPr="00100210">
              <w:rPr>
                <w:rFonts w:ascii="Times New Roman" w:eastAsia="Courier New" w:hAnsi="Times New Roman" w:cs="Times New Roman"/>
                <w:lang w:eastAsia="ar-SA"/>
              </w:rPr>
              <w:t>Автоматична система закритого типу для проведення гематологічних досліджень з диференціацією лейкоцитів по 5 популяціям зрілих лейкоцитів і субпопуляції незрілих гранулоцитів</w:t>
            </w:r>
          </w:p>
        </w:tc>
        <w:tc>
          <w:tcPr>
            <w:tcW w:w="1559" w:type="dxa"/>
            <w:vAlign w:val="center"/>
          </w:tcPr>
          <w:p w14:paraId="2C4F503E" w14:textId="77777777" w:rsidR="00100210" w:rsidRPr="00100210" w:rsidRDefault="00100210" w:rsidP="00100210">
            <w:pPr>
              <w:widowControl w:val="0"/>
              <w:suppressAutoHyphens/>
              <w:autoSpaceDE w:val="0"/>
              <w:autoSpaceDN w:val="0"/>
              <w:adjustRightInd w:val="0"/>
              <w:spacing w:after="0" w:line="240" w:lineRule="auto"/>
              <w:rPr>
                <w:rFonts w:ascii="Times New Roman CYR" w:eastAsia="MS Mincho" w:hAnsi="Times New Roman CYR" w:cs="Times New Roman CYR"/>
                <w:bCs/>
                <w:lang w:eastAsia="ja-JP"/>
              </w:rPr>
            </w:pPr>
          </w:p>
        </w:tc>
        <w:tc>
          <w:tcPr>
            <w:tcW w:w="1560" w:type="dxa"/>
            <w:vAlign w:val="center"/>
          </w:tcPr>
          <w:p w14:paraId="79C6308A"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Cs/>
                <w:i/>
                <w:sz w:val="24"/>
                <w:szCs w:val="24"/>
                <w:u w:val="single"/>
                <w:lang w:eastAsia="ja-JP"/>
              </w:rPr>
            </w:pPr>
          </w:p>
        </w:tc>
      </w:tr>
      <w:tr w:rsidR="00100210" w:rsidRPr="00100210" w14:paraId="6C8C24B0" w14:textId="77777777" w:rsidTr="00100210">
        <w:trPr>
          <w:trHeight w:val="242"/>
        </w:trPr>
        <w:tc>
          <w:tcPr>
            <w:tcW w:w="852" w:type="dxa"/>
          </w:tcPr>
          <w:p w14:paraId="31783A8C" w14:textId="77777777" w:rsidR="00100210" w:rsidRPr="00100210" w:rsidRDefault="00100210" w:rsidP="00100210">
            <w:pPr>
              <w:widowControl w:val="0"/>
              <w:suppressAutoHyphens/>
              <w:autoSpaceDE w:val="0"/>
              <w:autoSpaceDN w:val="0"/>
              <w:adjustRightInd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1.2</w:t>
            </w:r>
          </w:p>
        </w:tc>
        <w:tc>
          <w:tcPr>
            <w:tcW w:w="6520" w:type="dxa"/>
          </w:tcPr>
          <w:p w14:paraId="6C6ACEF2" w14:textId="77777777" w:rsidR="00100210" w:rsidRPr="00100210" w:rsidRDefault="00100210" w:rsidP="00100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lang w:eastAsia="ar-SA"/>
              </w:rPr>
            </w:pPr>
            <w:r w:rsidRPr="00100210">
              <w:rPr>
                <w:rFonts w:ascii="Times New Roman" w:eastAsia="Courier New" w:hAnsi="Times New Roman" w:cs="Times New Roman"/>
                <w:lang w:eastAsia="ar-SA"/>
              </w:rPr>
              <w:t xml:space="preserve">Рік виробництва не раніше 2023 року </w:t>
            </w:r>
          </w:p>
        </w:tc>
        <w:tc>
          <w:tcPr>
            <w:tcW w:w="1559" w:type="dxa"/>
            <w:vAlign w:val="center"/>
          </w:tcPr>
          <w:p w14:paraId="5891FBB2"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p>
        </w:tc>
        <w:tc>
          <w:tcPr>
            <w:tcW w:w="1560" w:type="dxa"/>
            <w:vAlign w:val="center"/>
          </w:tcPr>
          <w:p w14:paraId="7371B726"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Cs/>
                <w:lang w:eastAsia="ja-JP"/>
              </w:rPr>
            </w:pPr>
          </w:p>
        </w:tc>
      </w:tr>
      <w:tr w:rsidR="00100210" w:rsidRPr="00100210" w14:paraId="04806573" w14:textId="77777777" w:rsidTr="00100210">
        <w:trPr>
          <w:trHeight w:val="260"/>
        </w:trPr>
        <w:tc>
          <w:tcPr>
            <w:tcW w:w="852" w:type="dxa"/>
            <w:vAlign w:val="center"/>
          </w:tcPr>
          <w:p w14:paraId="576865C1"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p>
        </w:tc>
        <w:tc>
          <w:tcPr>
            <w:tcW w:w="6520" w:type="dxa"/>
            <w:vAlign w:val="center"/>
          </w:tcPr>
          <w:p w14:paraId="5B1473A7"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r w:rsidRPr="00100210">
              <w:rPr>
                <w:rFonts w:ascii="Times New Roman CYR" w:eastAsia="MS Mincho" w:hAnsi="Times New Roman CYR" w:cs="Times New Roman CYR"/>
                <w:b/>
                <w:bCs/>
                <w:szCs w:val="24"/>
                <w:lang w:val="ru-RU" w:eastAsia="ja-JP"/>
              </w:rPr>
              <w:t>2.  Вимоги до медико-технічних характеристик:</w:t>
            </w:r>
          </w:p>
        </w:tc>
        <w:tc>
          <w:tcPr>
            <w:tcW w:w="1559" w:type="dxa"/>
            <w:vAlign w:val="center"/>
          </w:tcPr>
          <w:p w14:paraId="3AA5C601"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p>
        </w:tc>
        <w:tc>
          <w:tcPr>
            <w:tcW w:w="1560" w:type="dxa"/>
            <w:vAlign w:val="center"/>
          </w:tcPr>
          <w:p w14:paraId="04A9E344" w14:textId="77777777" w:rsidR="00100210" w:rsidRPr="00100210" w:rsidRDefault="00100210" w:rsidP="00100210">
            <w:pPr>
              <w:widowControl w:val="0"/>
              <w:suppressAutoHyphens/>
              <w:autoSpaceDE w:val="0"/>
              <w:autoSpaceDN w:val="0"/>
              <w:adjustRightInd w:val="0"/>
              <w:spacing w:after="0" w:line="240" w:lineRule="auto"/>
              <w:jc w:val="center"/>
              <w:rPr>
                <w:rFonts w:ascii="Times New Roman CYR" w:eastAsia="MS Mincho" w:hAnsi="Times New Roman CYR" w:cs="Times New Roman CYR"/>
                <w:b/>
                <w:bCs/>
                <w:sz w:val="24"/>
                <w:szCs w:val="24"/>
                <w:lang w:val="ru-RU" w:eastAsia="ja-JP"/>
              </w:rPr>
            </w:pPr>
          </w:p>
        </w:tc>
      </w:tr>
      <w:tr w:rsidR="00100210" w:rsidRPr="00100210" w14:paraId="3123F4C6" w14:textId="77777777" w:rsidTr="00100210">
        <w:trPr>
          <w:trHeight w:val="388"/>
        </w:trPr>
        <w:tc>
          <w:tcPr>
            <w:tcW w:w="852" w:type="dxa"/>
          </w:tcPr>
          <w:p w14:paraId="4CC093AA"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2.1</w:t>
            </w:r>
          </w:p>
        </w:tc>
        <w:tc>
          <w:tcPr>
            <w:tcW w:w="6520" w:type="dxa"/>
          </w:tcPr>
          <w:p w14:paraId="12EDC504" w14:textId="0E24B60D"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Продуктивність аналізатора в режимі підрахунку еритроцитів з визначенням еритроцитарних індексів, підрахунку тромбоцитів і лейкоцитів, а також диференціювання лейкоцитів по 5 популяціям зрілих лейкоцитів і субпопуляції незрілих гранулоцитів не менш ніж 100 тестів на годину</w:t>
            </w:r>
          </w:p>
        </w:tc>
        <w:tc>
          <w:tcPr>
            <w:tcW w:w="1559" w:type="dxa"/>
          </w:tcPr>
          <w:p w14:paraId="46ABDF47"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4AA182CE"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0B9FFC8C" w14:textId="77777777" w:rsidTr="00100210">
        <w:trPr>
          <w:trHeight w:val="388"/>
        </w:trPr>
        <w:tc>
          <w:tcPr>
            <w:tcW w:w="852" w:type="dxa"/>
          </w:tcPr>
          <w:p w14:paraId="4B7224E6"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Cs w:val="24"/>
                <w:lang w:eastAsia="ar-SA"/>
              </w:rPr>
            </w:pPr>
            <w:r w:rsidRPr="00100210">
              <w:rPr>
                <w:rFonts w:ascii="Times New Roman CYR" w:eastAsia="Times New Roman" w:hAnsi="Times New Roman CYR" w:cs="Times New Roman CYR"/>
                <w:szCs w:val="24"/>
                <w:lang w:eastAsia="ar-SA"/>
              </w:rPr>
              <w:t>2.2</w:t>
            </w:r>
          </w:p>
        </w:tc>
        <w:tc>
          <w:tcPr>
            <w:tcW w:w="6520" w:type="dxa"/>
          </w:tcPr>
          <w:p w14:paraId="74FE64A4" w14:textId="1E29E873"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Cs w:val="24"/>
                <w:lang w:val="ru-RU" w:eastAsia="ar-SA"/>
              </w:rPr>
            </w:pPr>
            <w:r w:rsidRPr="00100210">
              <w:rPr>
                <w:rFonts w:ascii="Times New Roman CYR" w:eastAsia="Times New Roman" w:hAnsi="Times New Roman CYR" w:cs="Times New Roman CYR"/>
                <w:sz w:val="24"/>
                <w:szCs w:val="24"/>
                <w:lang w:eastAsia="ar-SA"/>
              </w:rPr>
              <w:t>Наявність автоподач</w:t>
            </w:r>
            <w:r w:rsidR="00D0240F">
              <w:rPr>
                <w:rFonts w:ascii="Times New Roman CYR" w:eastAsia="Times New Roman" w:hAnsi="Times New Roman CYR" w:cs="Times New Roman CYR"/>
                <w:sz w:val="24"/>
                <w:szCs w:val="24"/>
                <w:lang w:eastAsia="ar-SA"/>
              </w:rPr>
              <w:t>і</w:t>
            </w:r>
            <w:r w:rsidRPr="00100210">
              <w:rPr>
                <w:rFonts w:ascii="Times New Roman CYR" w:eastAsia="Times New Roman" w:hAnsi="Times New Roman CYR" w:cs="Times New Roman CYR"/>
                <w:sz w:val="24"/>
                <w:szCs w:val="24"/>
                <w:lang w:eastAsia="ar-SA"/>
              </w:rPr>
              <w:t xml:space="preserve"> зра</w:t>
            </w:r>
            <w:r w:rsidR="00D0240F">
              <w:rPr>
                <w:rFonts w:ascii="Times New Roman CYR" w:eastAsia="Times New Roman" w:hAnsi="Times New Roman CYR" w:cs="Times New Roman CYR"/>
                <w:sz w:val="24"/>
                <w:szCs w:val="24"/>
                <w:lang w:eastAsia="ar-SA"/>
              </w:rPr>
              <w:t>з</w:t>
            </w:r>
            <w:r w:rsidRPr="00100210">
              <w:rPr>
                <w:rFonts w:ascii="Times New Roman CYR" w:eastAsia="Times New Roman" w:hAnsi="Times New Roman CYR" w:cs="Times New Roman CYR"/>
                <w:sz w:val="24"/>
                <w:szCs w:val="24"/>
                <w:lang w:eastAsia="ar-SA"/>
              </w:rPr>
              <w:t>ків з можливістю одночасного завантаження не менш, ніж 50 проб</w:t>
            </w:r>
          </w:p>
        </w:tc>
        <w:tc>
          <w:tcPr>
            <w:tcW w:w="1559" w:type="dxa"/>
          </w:tcPr>
          <w:p w14:paraId="5E67E6A8"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53089744"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0101FCC8" w14:textId="77777777" w:rsidTr="00100210">
        <w:trPr>
          <w:trHeight w:val="388"/>
        </w:trPr>
        <w:tc>
          <w:tcPr>
            <w:tcW w:w="852" w:type="dxa"/>
          </w:tcPr>
          <w:p w14:paraId="13A84F78"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2.3</w:t>
            </w:r>
          </w:p>
        </w:tc>
        <w:tc>
          <w:tcPr>
            <w:tcW w:w="6520" w:type="dxa"/>
          </w:tcPr>
          <w:p w14:paraId="3AFD6272" w14:textId="48C73561" w:rsidR="00100210" w:rsidRPr="00100210" w:rsidRDefault="00100210" w:rsidP="00100210">
            <w:pPr>
              <w:widowControl w:val="0"/>
              <w:suppressAutoHyphens/>
              <w:autoSpaceDE w:val="0"/>
              <w:spacing w:after="0" w:line="240" w:lineRule="auto"/>
              <w:ind w:firstLine="360"/>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Cs w:val="24"/>
                <w:lang w:val="ru-RU" w:eastAsia="ar-SA"/>
              </w:rPr>
              <w:t>Метод</w:t>
            </w:r>
            <w:r w:rsidRPr="00100210">
              <w:rPr>
                <w:rFonts w:ascii="Times New Roman CYR" w:eastAsia="Times New Roman" w:hAnsi="Times New Roman CYR" w:cs="Times New Roman CYR"/>
                <w:szCs w:val="24"/>
                <w:lang w:eastAsia="ar-SA"/>
              </w:rPr>
              <w:t xml:space="preserve">и </w:t>
            </w:r>
            <w:r w:rsidRPr="00100210">
              <w:rPr>
                <w:rFonts w:ascii="Times New Roman CYR" w:eastAsia="Times New Roman" w:hAnsi="Times New Roman CYR" w:cs="Times New Roman CYR"/>
                <w:sz w:val="24"/>
                <w:szCs w:val="24"/>
                <w:lang w:eastAsia="ar-SA"/>
              </w:rPr>
              <w:t xml:space="preserve">вимірювання: </w:t>
            </w:r>
          </w:p>
          <w:p w14:paraId="25B67D91" w14:textId="77777777" w:rsidR="00100210" w:rsidRPr="00100210" w:rsidRDefault="00100210" w:rsidP="00100210">
            <w:pPr>
              <w:widowControl w:val="0"/>
              <w:numPr>
                <w:ilvl w:val="0"/>
                <w:numId w:val="12"/>
              </w:numPr>
              <w:suppressAutoHyphens/>
              <w:autoSpaceDE w:val="0"/>
              <w:spacing w:after="0" w:line="240" w:lineRule="auto"/>
              <w:contextualSpacing/>
              <w:rPr>
                <w:rFonts w:ascii="Times New Roman" w:eastAsia="Times New Roman" w:hAnsi="Times New Roman" w:cs="Times New Roman"/>
                <w:sz w:val="24"/>
                <w:szCs w:val="24"/>
                <w:lang w:eastAsia="ar-SA"/>
              </w:rPr>
            </w:pPr>
            <w:r w:rsidRPr="00100210">
              <w:rPr>
                <w:rFonts w:ascii="Times New Roman" w:eastAsia="Times New Roman" w:hAnsi="Times New Roman" w:cs="Times New Roman"/>
                <w:sz w:val="24"/>
                <w:szCs w:val="24"/>
                <w:lang w:eastAsia="ar-SA"/>
              </w:rPr>
              <w:t xml:space="preserve">Імпеданс – для підрахунку клітин, </w:t>
            </w:r>
          </w:p>
          <w:p w14:paraId="64FBE875" w14:textId="77777777" w:rsidR="00100210" w:rsidRPr="00100210" w:rsidRDefault="00100210" w:rsidP="00100210">
            <w:pPr>
              <w:widowControl w:val="0"/>
              <w:numPr>
                <w:ilvl w:val="0"/>
                <w:numId w:val="12"/>
              </w:numPr>
              <w:suppressAutoHyphens/>
              <w:autoSpaceDE w:val="0"/>
              <w:spacing w:after="100" w:afterAutospacing="1" w:line="240" w:lineRule="auto"/>
              <w:contextualSpacing/>
              <w:rPr>
                <w:rFonts w:ascii="Times New Roman" w:eastAsia="Times New Roman" w:hAnsi="Times New Roman" w:cs="Times New Roman"/>
                <w:sz w:val="24"/>
                <w:szCs w:val="24"/>
                <w:lang w:eastAsia="ar-SA"/>
              </w:rPr>
            </w:pPr>
            <w:r w:rsidRPr="00100210">
              <w:rPr>
                <w:rFonts w:ascii="Times New Roman" w:eastAsia="Times New Roman" w:hAnsi="Times New Roman" w:cs="Times New Roman"/>
                <w:sz w:val="24"/>
                <w:szCs w:val="24"/>
                <w:lang w:eastAsia="ar-SA"/>
              </w:rPr>
              <w:t xml:space="preserve">Розсіювання лазерного світла та технологія тримірного аналізу на базі даних про розсіювання лазерного світла під двома кутами та сигналів флуоресценції (для диференціації клітин) </w:t>
            </w:r>
          </w:p>
          <w:p w14:paraId="2F11C6F8" w14:textId="77777777" w:rsidR="00100210" w:rsidRPr="00100210" w:rsidRDefault="00100210" w:rsidP="00100210">
            <w:pPr>
              <w:widowControl w:val="0"/>
              <w:numPr>
                <w:ilvl w:val="0"/>
                <w:numId w:val="12"/>
              </w:numPr>
              <w:suppressAutoHyphens/>
              <w:autoSpaceDE w:val="0"/>
              <w:spacing w:after="0" w:line="240" w:lineRule="auto"/>
              <w:contextualSpacing/>
              <w:rPr>
                <w:rFonts w:ascii="Times New Roman" w:eastAsia="Times New Roman" w:hAnsi="Times New Roman" w:cs="Times New Roman"/>
                <w:sz w:val="24"/>
                <w:szCs w:val="24"/>
                <w:lang w:eastAsia="ar-SA"/>
              </w:rPr>
            </w:pPr>
            <w:r w:rsidRPr="00100210">
              <w:rPr>
                <w:rFonts w:ascii="Times New Roman" w:eastAsia="Times New Roman" w:hAnsi="Times New Roman" w:cs="Times New Roman"/>
                <w:sz w:val="24"/>
                <w:szCs w:val="24"/>
                <w:lang w:eastAsia="ar-SA"/>
              </w:rPr>
              <w:t>Колориметричний метод для вимірювання гемоглобіну</w:t>
            </w:r>
          </w:p>
        </w:tc>
        <w:tc>
          <w:tcPr>
            <w:tcW w:w="1559" w:type="dxa"/>
          </w:tcPr>
          <w:p w14:paraId="580AD23D"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32304634"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132D55D0" w14:textId="77777777" w:rsidTr="00100210">
        <w:trPr>
          <w:trHeight w:val="388"/>
        </w:trPr>
        <w:tc>
          <w:tcPr>
            <w:tcW w:w="852" w:type="dxa"/>
          </w:tcPr>
          <w:p w14:paraId="444B277F"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2.4</w:t>
            </w:r>
          </w:p>
        </w:tc>
        <w:tc>
          <w:tcPr>
            <w:tcW w:w="6520" w:type="dxa"/>
          </w:tcPr>
          <w:p w14:paraId="12371EBD"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Cs w:val="24"/>
                <w:lang w:eastAsia="ar-SA"/>
              </w:rPr>
              <w:t xml:space="preserve">Наявність окремого каналу </w:t>
            </w:r>
            <w:r w:rsidRPr="00100210">
              <w:rPr>
                <w:rFonts w:ascii="Times New Roman CYR" w:eastAsia="Times New Roman" w:hAnsi="Times New Roman CYR" w:cs="Times New Roman CYR"/>
                <w:sz w:val="24"/>
                <w:szCs w:val="24"/>
                <w:lang w:eastAsia="ar-SA"/>
              </w:rPr>
              <w:t>диференціювання базофілів та ядерних еритроцитів.</w:t>
            </w:r>
          </w:p>
        </w:tc>
        <w:tc>
          <w:tcPr>
            <w:tcW w:w="1559" w:type="dxa"/>
          </w:tcPr>
          <w:p w14:paraId="67A2F14E"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71102376"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162A8395" w14:textId="77777777" w:rsidTr="00100210">
        <w:trPr>
          <w:trHeight w:val="305"/>
        </w:trPr>
        <w:tc>
          <w:tcPr>
            <w:tcW w:w="852" w:type="dxa"/>
          </w:tcPr>
          <w:p w14:paraId="4D41CE6D"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2.5</w:t>
            </w:r>
          </w:p>
        </w:tc>
        <w:tc>
          <w:tcPr>
            <w:tcW w:w="6520" w:type="dxa"/>
          </w:tcPr>
          <w:p w14:paraId="7098F879"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en-US" w:eastAsia="ar-SA"/>
              </w:rPr>
            </w:pPr>
            <w:r w:rsidRPr="00100210">
              <w:rPr>
                <w:rFonts w:ascii="Times New Roman CYR" w:eastAsia="Times New Roman" w:hAnsi="Times New Roman CYR" w:cs="Times New Roman CYR"/>
                <w:szCs w:val="24"/>
                <w:lang w:val="ru-RU" w:eastAsia="ar-SA"/>
              </w:rPr>
              <w:t xml:space="preserve">Безціанідний метод визначення гемоглобіну </w:t>
            </w:r>
          </w:p>
        </w:tc>
        <w:tc>
          <w:tcPr>
            <w:tcW w:w="1559" w:type="dxa"/>
          </w:tcPr>
          <w:p w14:paraId="378121BC"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6FF7F2CD"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2FA7F8ED" w14:textId="77777777" w:rsidTr="00100210">
        <w:trPr>
          <w:trHeight w:val="260"/>
        </w:trPr>
        <w:tc>
          <w:tcPr>
            <w:tcW w:w="852" w:type="dxa"/>
          </w:tcPr>
          <w:p w14:paraId="7806AE30"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en-US" w:eastAsia="ar-SA"/>
              </w:rPr>
              <w:lastRenderedPageBreak/>
              <w:t>2.</w:t>
            </w:r>
            <w:r w:rsidRPr="00100210">
              <w:rPr>
                <w:rFonts w:ascii="Times New Roman CYR" w:eastAsia="Times New Roman" w:hAnsi="Times New Roman CYR" w:cs="Times New Roman CYR"/>
                <w:szCs w:val="24"/>
                <w:lang w:val="ru-RU" w:eastAsia="ar-SA"/>
              </w:rPr>
              <w:t>6</w:t>
            </w:r>
          </w:p>
        </w:tc>
        <w:tc>
          <w:tcPr>
            <w:tcW w:w="6520" w:type="dxa"/>
          </w:tcPr>
          <w:p w14:paraId="33555715" w14:textId="77777777" w:rsidR="00100210" w:rsidRPr="00100210" w:rsidRDefault="00100210" w:rsidP="00100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lang w:eastAsia="ar-SA"/>
              </w:rPr>
            </w:pPr>
            <w:r w:rsidRPr="00100210">
              <w:rPr>
                <w:rFonts w:ascii="Times New Roman" w:eastAsia="Courier New" w:hAnsi="Times New Roman" w:cs="Times New Roman"/>
                <w:szCs w:val="24"/>
                <w:lang w:val="ru-RU" w:eastAsia="ar-SA"/>
              </w:rPr>
              <w:t>Виділення при диференціюванн</w:t>
            </w:r>
            <w:r w:rsidRPr="00100210">
              <w:rPr>
                <w:rFonts w:ascii="Times New Roman" w:eastAsia="Courier New" w:hAnsi="Times New Roman" w:cs="Times New Roman"/>
                <w:szCs w:val="24"/>
                <w:lang w:eastAsia="ar-SA"/>
              </w:rPr>
              <w:t>і</w:t>
            </w:r>
            <w:r w:rsidRPr="00100210">
              <w:rPr>
                <w:rFonts w:ascii="Times New Roman" w:eastAsia="Courier New" w:hAnsi="Times New Roman" w:cs="Times New Roman"/>
                <w:szCs w:val="24"/>
                <w:lang w:val="ru-RU" w:eastAsia="ar-SA"/>
              </w:rPr>
              <w:t xml:space="preserve"> лейкоцитів окрем</w:t>
            </w:r>
            <w:r w:rsidRPr="00100210">
              <w:rPr>
                <w:rFonts w:ascii="Times New Roman" w:eastAsia="Courier New" w:hAnsi="Times New Roman" w:cs="Times New Roman"/>
                <w:szCs w:val="24"/>
                <w:lang w:eastAsia="ar-SA"/>
              </w:rPr>
              <w:t>ої</w:t>
            </w:r>
            <w:r w:rsidRPr="00100210">
              <w:rPr>
                <w:rFonts w:ascii="Times New Roman" w:eastAsia="Courier New" w:hAnsi="Times New Roman" w:cs="Times New Roman"/>
                <w:szCs w:val="24"/>
                <w:lang w:val="ru-RU" w:eastAsia="ar-SA"/>
              </w:rPr>
              <w:t xml:space="preserve"> популяцію незрілих гранулоцитів з кількісним її підрахунком (абсолютним і відносним)</w:t>
            </w:r>
          </w:p>
        </w:tc>
        <w:tc>
          <w:tcPr>
            <w:tcW w:w="1559" w:type="dxa"/>
          </w:tcPr>
          <w:p w14:paraId="6BFA8CFA"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05FF568C"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48F0D0FB" w14:textId="77777777" w:rsidTr="00100210">
        <w:trPr>
          <w:trHeight w:val="388"/>
        </w:trPr>
        <w:tc>
          <w:tcPr>
            <w:tcW w:w="852" w:type="dxa"/>
          </w:tcPr>
          <w:p w14:paraId="5A055B30"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2.7</w:t>
            </w:r>
          </w:p>
        </w:tc>
        <w:tc>
          <w:tcPr>
            <w:tcW w:w="6520" w:type="dxa"/>
          </w:tcPr>
          <w:p w14:paraId="1A881808" w14:textId="1D57AD85"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Cs w:val="24"/>
                <w:lang w:val="ru-RU" w:eastAsia="ar-SA"/>
              </w:rPr>
              <w:t>Можливість підключення режиму аналізу рідин тіла (спинномозкова рідина, серозні рідини, синовіальна рідина) з підрахункам кількості еритроцитів і лейкоцитів, мононуклеарних і поліморфноядерних клітин, загальної кількості клітин</w:t>
            </w:r>
          </w:p>
        </w:tc>
        <w:tc>
          <w:tcPr>
            <w:tcW w:w="1559" w:type="dxa"/>
            <w:shd w:val="clear" w:color="auto" w:fill="auto"/>
          </w:tcPr>
          <w:p w14:paraId="720EAB58"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shd w:val="clear" w:color="auto" w:fill="auto"/>
          </w:tcPr>
          <w:p w14:paraId="37D030E7"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1D01880D" w14:textId="77777777" w:rsidTr="00100210">
        <w:trPr>
          <w:trHeight w:val="388"/>
        </w:trPr>
        <w:tc>
          <w:tcPr>
            <w:tcW w:w="852" w:type="dxa"/>
          </w:tcPr>
          <w:p w14:paraId="598DF676" w14:textId="77777777" w:rsidR="00100210" w:rsidRPr="00100210" w:rsidRDefault="00100210" w:rsidP="00100210">
            <w:pPr>
              <w:widowControl w:val="0"/>
              <w:suppressAutoHyphens/>
              <w:autoSpaceDE w:val="0"/>
              <w:spacing w:after="0" w:line="240" w:lineRule="auto"/>
              <w:ind w:left="284" w:hanging="284"/>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2.8</w:t>
            </w:r>
          </w:p>
        </w:tc>
        <w:tc>
          <w:tcPr>
            <w:tcW w:w="6520" w:type="dxa"/>
          </w:tcPr>
          <w:p w14:paraId="3634FF6F"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 w:val="24"/>
                <w:szCs w:val="24"/>
                <w:lang w:eastAsia="ar-SA"/>
              </w:rPr>
              <w:t>Кількість параметрів, що вимірюються, не менш, ніж 29 для зразків крові та 7 для рідин організму</w:t>
            </w:r>
          </w:p>
        </w:tc>
        <w:tc>
          <w:tcPr>
            <w:tcW w:w="1559" w:type="dxa"/>
          </w:tcPr>
          <w:p w14:paraId="2A3814C0"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4480D1E8"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2FA8AD69" w14:textId="77777777" w:rsidTr="00100210">
        <w:trPr>
          <w:trHeight w:val="388"/>
        </w:trPr>
        <w:tc>
          <w:tcPr>
            <w:tcW w:w="852" w:type="dxa"/>
          </w:tcPr>
          <w:p w14:paraId="5ECD1B3C"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2.9</w:t>
            </w:r>
          </w:p>
        </w:tc>
        <w:tc>
          <w:tcPr>
            <w:tcW w:w="6520" w:type="dxa"/>
          </w:tcPr>
          <w:p w14:paraId="7D9AB5B1" w14:textId="416001F5" w:rsidR="00100210" w:rsidRPr="00100210" w:rsidRDefault="00100210" w:rsidP="00100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lang w:eastAsia="ar-SA"/>
              </w:rPr>
            </w:pPr>
            <w:r w:rsidRPr="00100210">
              <w:rPr>
                <w:rFonts w:ascii="Times New Roman" w:eastAsia="Courier New" w:hAnsi="Times New Roman" w:cs="Times New Roman"/>
                <w:lang w:eastAsia="ar-SA"/>
              </w:rPr>
              <w:t>Можливість налаштування чутливості «</w:t>
            </w:r>
            <w:r w:rsidR="00D0240F" w:rsidRPr="00100210">
              <w:rPr>
                <w:rFonts w:ascii="Times New Roman" w:eastAsia="Courier New" w:hAnsi="Times New Roman" w:cs="Times New Roman"/>
                <w:lang w:eastAsia="ar-SA"/>
              </w:rPr>
              <w:t>тривоги</w:t>
            </w:r>
            <w:r w:rsidRPr="00100210">
              <w:rPr>
                <w:rFonts w:ascii="Times New Roman" w:eastAsia="Courier New" w:hAnsi="Times New Roman" w:cs="Times New Roman"/>
                <w:lang w:eastAsia="ar-SA"/>
              </w:rPr>
              <w:t>» аналізатора</w:t>
            </w:r>
            <w:r w:rsidR="00D0240F">
              <w:rPr>
                <w:rFonts w:ascii="Times New Roman" w:eastAsia="Courier New" w:hAnsi="Times New Roman" w:cs="Times New Roman"/>
                <w:lang w:eastAsia="ar-SA"/>
              </w:rPr>
              <w:t xml:space="preserve"> </w:t>
            </w:r>
            <w:r w:rsidRPr="00100210">
              <w:rPr>
                <w:rFonts w:ascii="Times New Roman" w:eastAsia="Courier New" w:hAnsi="Times New Roman" w:cs="Times New Roman"/>
                <w:lang w:eastAsia="ar-SA"/>
              </w:rPr>
              <w:t>щодо патологічних показників вимірювання</w:t>
            </w:r>
          </w:p>
        </w:tc>
        <w:tc>
          <w:tcPr>
            <w:tcW w:w="1559" w:type="dxa"/>
          </w:tcPr>
          <w:p w14:paraId="333952E5"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392DDDF4"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30974675" w14:textId="77777777" w:rsidTr="00100210">
        <w:trPr>
          <w:trHeight w:val="388"/>
        </w:trPr>
        <w:tc>
          <w:tcPr>
            <w:tcW w:w="852" w:type="dxa"/>
          </w:tcPr>
          <w:p w14:paraId="751171D4" w14:textId="77777777" w:rsidR="00100210" w:rsidRPr="00100210" w:rsidRDefault="00100210" w:rsidP="00100210">
            <w:pPr>
              <w:widowControl w:val="0"/>
              <w:suppressAutoHyphens/>
              <w:autoSpaceDE w:val="0"/>
              <w:spacing w:after="0" w:line="240" w:lineRule="auto"/>
              <w:ind w:left="284" w:hanging="284"/>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2.10</w:t>
            </w:r>
          </w:p>
        </w:tc>
        <w:tc>
          <w:tcPr>
            <w:tcW w:w="6520" w:type="dxa"/>
          </w:tcPr>
          <w:p w14:paraId="3948C64E"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 w:val="24"/>
                <w:szCs w:val="24"/>
                <w:lang w:eastAsia="ar-SA"/>
              </w:rPr>
              <w:t>Наявність функції автоматичного повторного дослідження зразків</w:t>
            </w:r>
          </w:p>
        </w:tc>
        <w:tc>
          <w:tcPr>
            <w:tcW w:w="1559" w:type="dxa"/>
          </w:tcPr>
          <w:p w14:paraId="37EC7494"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c>
          <w:tcPr>
            <w:tcW w:w="1560" w:type="dxa"/>
          </w:tcPr>
          <w:p w14:paraId="05412E3B"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21FB96CB" w14:textId="77777777" w:rsidTr="00100210">
        <w:trPr>
          <w:trHeight w:val="388"/>
        </w:trPr>
        <w:tc>
          <w:tcPr>
            <w:tcW w:w="852" w:type="dxa"/>
          </w:tcPr>
          <w:p w14:paraId="3676B2BF" w14:textId="77777777" w:rsidR="00100210" w:rsidRPr="00100210" w:rsidRDefault="00100210" w:rsidP="00100210">
            <w:pPr>
              <w:widowControl w:val="0"/>
              <w:suppressAutoHyphens/>
              <w:autoSpaceDE w:val="0"/>
              <w:spacing w:after="0" w:line="240" w:lineRule="auto"/>
              <w:ind w:left="284" w:hanging="284"/>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2.11</w:t>
            </w:r>
          </w:p>
        </w:tc>
        <w:tc>
          <w:tcPr>
            <w:tcW w:w="6520" w:type="dxa"/>
          </w:tcPr>
          <w:p w14:paraId="02B424BA"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 w:val="24"/>
                <w:szCs w:val="24"/>
                <w:lang w:eastAsia="ar-SA"/>
              </w:rPr>
              <w:t xml:space="preserve">Наявність </w:t>
            </w:r>
            <w:r w:rsidRPr="00100210">
              <w:rPr>
                <w:rFonts w:ascii="Times New Roman CYR" w:eastAsia="Times New Roman" w:hAnsi="Times New Roman CYR" w:cs="Times New Roman CYR"/>
                <w:sz w:val="24"/>
                <w:szCs w:val="24"/>
                <w:lang w:val="en-US" w:eastAsia="ar-SA"/>
              </w:rPr>
              <w:t>STAT</w:t>
            </w:r>
            <w:r w:rsidRPr="00100210">
              <w:rPr>
                <w:rFonts w:ascii="Times New Roman CYR" w:eastAsia="Times New Roman" w:hAnsi="Times New Roman CYR" w:cs="Times New Roman CYR"/>
                <w:sz w:val="24"/>
                <w:szCs w:val="24"/>
                <w:lang w:eastAsia="ar-SA"/>
              </w:rPr>
              <w:t>-режиму, для керування черги тестів</w:t>
            </w:r>
          </w:p>
        </w:tc>
        <w:tc>
          <w:tcPr>
            <w:tcW w:w="1559" w:type="dxa"/>
          </w:tcPr>
          <w:p w14:paraId="53F1B728"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7B0C4D3A"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24BCE381" w14:textId="77777777" w:rsidTr="00100210">
        <w:trPr>
          <w:trHeight w:val="388"/>
        </w:trPr>
        <w:tc>
          <w:tcPr>
            <w:tcW w:w="852" w:type="dxa"/>
          </w:tcPr>
          <w:p w14:paraId="4BD4B2CD" w14:textId="77777777" w:rsidR="00100210" w:rsidRPr="00100210" w:rsidRDefault="00100210" w:rsidP="00100210">
            <w:pPr>
              <w:widowControl w:val="0"/>
              <w:suppressAutoHyphens/>
              <w:autoSpaceDE w:val="0"/>
              <w:spacing w:after="0" w:line="240" w:lineRule="auto"/>
              <w:ind w:left="284" w:hanging="284"/>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2.12</w:t>
            </w:r>
          </w:p>
        </w:tc>
        <w:tc>
          <w:tcPr>
            <w:tcW w:w="6520" w:type="dxa"/>
          </w:tcPr>
          <w:p w14:paraId="39DC4022" w14:textId="3D385994"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Cs w:val="24"/>
                <w:lang w:eastAsia="ar-SA"/>
              </w:rPr>
              <w:t xml:space="preserve">До аналізатору повинні бути надані </w:t>
            </w:r>
            <w:r w:rsidR="00D0240F" w:rsidRPr="00100210">
              <w:rPr>
                <w:rFonts w:ascii="Times New Roman CYR" w:eastAsia="Times New Roman" w:hAnsi="Times New Roman CYR" w:cs="Times New Roman CYR"/>
                <w:szCs w:val="24"/>
                <w:lang w:eastAsia="ar-SA"/>
              </w:rPr>
              <w:t>спеціально</w:t>
            </w:r>
            <w:r w:rsidRPr="00100210">
              <w:rPr>
                <w:rFonts w:ascii="Times New Roman CYR" w:eastAsia="Times New Roman" w:hAnsi="Times New Roman CYR" w:cs="Times New Roman CYR"/>
                <w:szCs w:val="24"/>
                <w:lang w:eastAsia="ar-SA"/>
              </w:rPr>
              <w:t xml:space="preserve"> адаптовані сумісні з приладом реагенти та барвники для забезпечення роботи приладу</w:t>
            </w:r>
          </w:p>
        </w:tc>
        <w:tc>
          <w:tcPr>
            <w:tcW w:w="1559" w:type="dxa"/>
          </w:tcPr>
          <w:p w14:paraId="51953423"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63FE101C"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15086452" w14:textId="77777777" w:rsidTr="00100210">
        <w:trPr>
          <w:trHeight w:val="388"/>
        </w:trPr>
        <w:tc>
          <w:tcPr>
            <w:tcW w:w="852" w:type="dxa"/>
          </w:tcPr>
          <w:p w14:paraId="7D70A3D3" w14:textId="77777777" w:rsidR="00100210" w:rsidRPr="00100210" w:rsidRDefault="00100210" w:rsidP="00100210">
            <w:pPr>
              <w:widowControl w:val="0"/>
              <w:suppressAutoHyphens/>
              <w:autoSpaceDE w:val="0"/>
              <w:spacing w:after="0" w:line="240" w:lineRule="auto"/>
              <w:ind w:left="284" w:hanging="284"/>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2.13</w:t>
            </w:r>
          </w:p>
        </w:tc>
        <w:tc>
          <w:tcPr>
            <w:tcW w:w="6520" w:type="dxa"/>
          </w:tcPr>
          <w:p w14:paraId="6549DF4B"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 w:val="24"/>
                <w:szCs w:val="24"/>
                <w:lang w:eastAsia="ar-SA"/>
              </w:rPr>
              <w:t xml:space="preserve">Можливість зчитувати штрих-коди на пробірках </w:t>
            </w:r>
            <w:r w:rsidRPr="00100210">
              <w:rPr>
                <w:rFonts w:ascii="Times New Roman CYR" w:eastAsia="Times New Roman" w:hAnsi="Times New Roman CYR" w:cs="Times New Roman CYR"/>
                <w:sz w:val="24"/>
                <w:szCs w:val="24"/>
                <w:lang w:val="en-US" w:eastAsia="ar-SA"/>
              </w:rPr>
              <w:t>ID</w:t>
            </w:r>
            <w:r w:rsidRPr="00100210">
              <w:rPr>
                <w:rFonts w:ascii="Times New Roman CYR" w:eastAsia="Times New Roman" w:hAnsi="Times New Roman CYR" w:cs="Times New Roman CYR"/>
                <w:sz w:val="24"/>
                <w:szCs w:val="24"/>
                <w:lang w:eastAsia="ar-SA"/>
              </w:rPr>
              <w:t xml:space="preserve"> зразку</w:t>
            </w:r>
          </w:p>
        </w:tc>
        <w:tc>
          <w:tcPr>
            <w:tcW w:w="1559" w:type="dxa"/>
          </w:tcPr>
          <w:p w14:paraId="5E083402"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7BC022EA"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78075DB2" w14:textId="77777777" w:rsidTr="00100210">
        <w:trPr>
          <w:trHeight w:val="388"/>
        </w:trPr>
        <w:tc>
          <w:tcPr>
            <w:tcW w:w="852" w:type="dxa"/>
          </w:tcPr>
          <w:p w14:paraId="7DFD5442" w14:textId="77777777" w:rsidR="00100210" w:rsidRPr="00100210" w:rsidRDefault="00100210" w:rsidP="00100210">
            <w:pPr>
              <w:widowControl w:val="0"/>
              <w:suppressAutoHyphens/>
              <w:autoSpaceDE w:val="0"/>
              <w:spacing w:after="0" w:line="240" w:lineRule="auto"/>
              <w:ind w:left="284" w:hanging="284"/>
              <w:rPr>
                <w:rFonts w:ascii="Times New Roman CYR" w:eastAsia="Times New Roman" w:hAnsi="Times New Roman CYR" w:cs="Times New Roman CYR"/>
                <w:szCs w:val="24"/>
                <w:lang w:eastAsia="ar-SA"/>
              </w:rPr>
            </w:pPr>
            <w:r w:rsidRPr="00100210">
              <w:rPr>
                <w:rFonts w:ascii="Times New Roman CYR" w:eastAsia="Times New Roman" w:hAnsi="Times New Roman CYR" w:cs="Times New Roman CYR"/>
                <w:szCs w:val="24"/>
                <w:lang w:eastAsia="ar-SA"/>
              </w:rPr>
              <w:t>2.14</w:t>
            </w:r>
          </w:p>
        </w:tc>
        <w:tc>
          <w:tcPr>
            <w:tcW w:w="6520" w:type="dxa"/>
          </w:tcPr>
          <w:p w14:paraId="7A966A33"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 w:val="24"/>
                <w:szCs w:val="24"/>
                <w:lang w:eastAsia="ar-SA"/>
              </w:rPr>
              <w:t>Наявність автоматичного перемішування проб</w:t>
            </w:r>
          </w:p>
        </w:tc>
        <w:tc>
          <w:tcPr>
            <w:tcW w:w="1559" w:type="dxa"/>
          </w:tcPr>
          <w:p w14:paraId="77751B0A"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629B39DA"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17D552E7" w14:textId="77777777" w:rsidTr="00100210">
        <w:tc>
          <w:tcPr>
            <w:tcW w:w="852" w:type="dxa"/>
          </w:tcPr>
          <w:p w14:paraId="4DA27F62"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 w:val="24"/>
                <w:szCs w:val="24"/>
                <w:lang w:val="ru-RU" w:eastAsia="ja-JP"/>
              </w:rPr>
            </w:pPr>
            <w:r w:rsidRPr="00100210">
              <w:rPr>
                <w:rFonts w:ascii="Times New Roman CYR" w:eastAsia="MS Mincho" w:hAnsi="Times New Roman CYR" w:cs="Times New Roman CYR"/>
                <w:bCs/>
                <w:szCs w:val="24"/>
                <w:lang w:val="ru-RU" w:eastAsia="ja-JP"/>
              </w:rPr>
              <w:t>3.1</w:t>
            </w:r>
          </w:p>
        </w:tc>
        <w:tc>
          <w:tcPr>
            <w:tcW w:w="6520" w:type="dxa"/>
          </w:tcPr>
          <w:p w14:paraId="6DFDA70B"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Умови експлуатації:</w:t>
            </w:r>
          </w:p>
          <w:p w14:paraId="36FE4609"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 xml:space="preserve"> - Температура навколишнього середовища – від 15 ° C до 3</w:t>
            </w:r>
            <w:r w:rsidRPr="00100210">
              <w:rPr>
                <w:rFonts w:ascii="Times New Roman CYR" w:eastAsia="Times New Roman" w:hAnsi="Times New Roman CYR" w:cs="Times New Roman CYR"/>
                <w:szCs w:val="24"/>
                <w:lang w:eastAsia="ar-SA"/>
              </w:rPr>
              <w:t>2</w:t>
            </w:r>
            <w:r w:rsidRPr="00100210">
              <w:rPr>
                <w:rFonts w:ascii="Times New Roman CYR" w:eastAsia="Times New Roman" w:hAnsi="Times New Roman CYR" w:cs="Times New Roman CYR"/>
                <w:szCs w:val="24"/>
                <w:lang w:val="ru-RU" w:eastAsia="ar-SA"/>
              </w:rPr>
              <w:t xml:space="preserve"> ° C (також відноситься до реагентів)</w:t>
            </w:r>
          </w:p>
          <w:p w14:paraId="53D1969E"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 xml:space="preserve"> - Відносна вологість: від 30% до 85%</w:t>
            </w:r>
          </w:p>
          <w:p w14:paraId="2A8C12F3"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 xml:space="preserve"> - Атмосферний тиск: 70 – 106 кПа</w:t>
            </w:r>
          </w:p>
        </w:tc>
        <w:tc>
          <w:tcPr>
            <w:tcW w:w="1559" w:type="dxa"/>
          </w:tcPr>
          <w:p w14:paraId="5ABFCF2A"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0B7B64C3"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626936AE" w14:textId="77777777" w:rsidTr="00100210">
        <w:tc>
          <w:tcPr>
            <w:tcW w:w="852" w:type="dxa"/>
          </w:tcPr>
          <w:p w14:paraId="6DDA1506"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Cs w:val="24"/>
                <w:lang w:eastAsia="ja-JP"/>
              </w:rPr>
            </w:pPr>
            <w:r w:rsidRPr="00100210">
              <w:rPr>
                <w:rFonts w:ascii="Times New Roman CYR" w:eastAsia="MS Mincho" w:hAnsi="Times New Roman CYR" w:cs="Times New Roman CYR"/>
                <w:bCs/>
                <w:szCs w:val="24"/>
                <w:lang w:eastAsia="ja-JP"/>
              </w:rPr>
              <w:t>3.2</w:t>
            </w:r>
          </w:p>
        </w:tc>
        <w:tc>
          <w:tcPr>
            <w:tcW w:w="6520" w:type="dxa"/>
          </w:tcPr>
          <w:p w14:paraId="62656E5B"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Cs w:val="24"/>
                <w:lang w:val="ru-RU" w:eastAsia="ar-SA"/>
              </w:rPr>
            </w:pPr>
            <w:r w:rsidRPr="00100210">
              <w:rPr>
                <w:rFonts w:ascii="Times New Roman CYR" w:eastAsia="Times New Roman" w:hAnsi="Times New Roman CYR" w:cs="Times New Roman CYR"/>
                <w:szCs w:val="24"/>
                <w:lang w:val="ru-RU" w:eastAsia="ar-SA"/>
              </w:rPr>
              <w:t>Аналізатор повинен бути розрахований на підключення до мережі 2</w:t>
            </w:r>
            <w:r w:rsidRPr="00100210">
              <w:rPr>
                <w:rFonts w:ascii="Times New Roman CYR" w:eastAsia="Times New Roman" w:hAnsi="Times New Roman CYR" w:cs="Times New Roman CYR"/>
                <w:szCs w:val="24"/>
                <w:lang w:eastAsia="ar-SA"/>
              </w:rPr>
              <w:t>4</w:t>
            </w:r>
            <w:r w:rsidRPr="00100210">
              <w:rPr>
                <w:rFonts w:ascii="Times New Roman CYR" w:eastAsia="Times New Roman" w:hAnsi="Times New Roman CYR" w:cs="Times New Roman CYR"/>
                <w:szCs w:val="24"/>
                <w:lang w:val="ru-RU" w:eastAsia="ar-SA"/>
              </w:rPr>
              <w:t>0V / 50 Нz</w:t>
            </w:r>
          </w:p>
        </w:tc>
        <w:tc>
          <w:tcPr>
            <w:tcW w:w="1559" w:type="dxa"/>
          </w:tcPr>
          <w:p w14:paraId="6847778B"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18C1EB36"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5956BF44" w14:textId="77777777" w:rsidTr="00100210">
        <w:tc>
          <w:tcPr>
            <w:tcW w:w="852" w:type="dxa"/>
          </w:tcPr>
          <w:p w14:paraId="796396A9"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 w:val="24"/>
                <w:szCs w:val="24"/>
                <w:lang w:val="ru-RU" w:eastAsia="ja-JP"/>
              </w:rPr>
            </w:pPr>
            <w:r w:rsidRPr="00100210">
              <w:rPr>
                <w:rFonts w:ascii="Times New Roman CYR" w:eastAsia="MS Mincho" w:hAnsi="Times New Roman CYR" w:cs="Times New Roman CYR"/>
                <w:bCs/>
                <w:szCs w:val="24"/>
                <w:lang w:val="ru-RU" w:eastAsia="ja-JP"/>
              </w:rPr>
              <w:t>3.3</w:t>
            </w:r>
          </w:p>
        </w:tc>
        <w:tc>
          <w:tcPr>
            <w:tcW w:w="6520" w:type="dxa"/>
          </w:tcPr>
          <w:p w14:paraId="7C97CF58"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eastAsia="ar-SA"/>
              </w:rPr>
            </w:pPr>
            <w:r w:rsidRPr="00100210">
              <w:rPr>
                <w:rFonts w:ascii="Times New Roman CYR" w:eastAsia="Times New Roman" w:hAnsi="Times New Roman CYR" w:cs="Times New Roman CYR"/>
                <w:szCs w:val="24"/>
                <w:lang w:eastAsia="ar-SA"/>
              </w:rPr>
              <w:t>Обов’язкове комплектування комп’ютерною станцією та БЕЖ</w:t>
            </w:r>
          </w:p>
        </w:tc>
        <w:tc>
          <w:tcPr>
            <w:tcW w:w="1559" w:type="dxa"/>
          </w:tcPr>
          <w:p w14:paraId="66FA7035"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30AF8A3B"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0F5E0093" w14:textId="77777777" w:rsidTr="00100210">
        <w:tc>
          <w:tcPr>
            <w:tcW w:w="852" w:type="dxa"/>
          </w:tcPr>
          <w:p w14:paraId="6FF478A1"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 w:val="24"/>
                <w:szCs w:val="24"/>
                <w:lang w:val="ru-RU" w:eastAsia="ja-JP"/>
              </w:rPr>
            </w:pPr>
            <w:r w:rsidRPr="00100210">
              <w:rPr>
                <w:rFonts w:ascii="Times New Roman CYR" w:eastAsia="MS Mincho" w:hAnsi="Times New Roman CYR" w:cs="Times New Roman CYR"/>
                <w:bCs/>
                <w:szCs w:val="24"/>
                <w:lang w:val="ru-RU" w:eastAsia="ja-JP"/>
              </w:rPr>
              <w:t>3.4</w:t>
            </w:r>
          </w:p>
        </w:tc>
        <w:tc>
          <w:tcPr>
            <w:tcW w:w="6520" w:type="dxa"/>
          </w:tcPr>
          <w:p w14:paraId="10C4AC08" w14:textId="35D1509E"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Рідкокристалічний сенсорний кольоровий дисплей у аналізатора</w:t>
            </w:r>
          </w:p>
        </w:tc>
        <w:tc>
          <w:tcPr>
            <w:tcW w:w="1559" w:type="dxa"/>
          </w:tcPr>
          <w:p w14:paraId="640865FA"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313D1511"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1AECE9D5" w14:textId="77777777" w:rsidTr="00100210">
        <w:tc>
          <w:tcPr>
            <w:tcW w:w="852" w:type="dxa"/>
          </w:tcPr>
          <w:p w14:paraId="2448C140"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 w:val="24"/>
                <w:szCs w:val="24"/>
                <w:lang w:val="ru-RU" w:eastAsia="ja-JP"/>
              </w:rPr>
            </w:pPr>
            <w:r w:rsidRPr="00100210">
              <w:rPr>
                <w:rFonts w:ascii="Times New Roman CYR" w:eastAsia="MS Mincho" w:hAnsi="Times New Roman CYR" w:cs="Times New Roman CYR"/>
                <w:bCs/>
                <w:szCs w:val="24"/>
                <w:lang w:val="ru-RU" w:eastAsia="ja-JP"/>
              </w:rPr>
              <w:t>3.5</w:t>
            </w:r>
          </w:p>
        </w:tc>
        <w:tc>
          <w:tcPr>
            <w:tcW w:w="6520" w:type="dxa"/>
          </w:tcPr>
          <w:p w14:paraId="162A706C"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Система зчитування штрих - коду на етикетці під час зміну реагенті</w:t>
            </w:r>
          </w:p>
        </w:tc>
        <w:tc>
          <w:tcPr>
            <w:tcW w:w="1559" w:type="dxa"/>
          </w:tcPr>
          <w:p w14:paraId="75278D3D"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09624B3C"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0E69139A" w14:textId="77777777" w:rsidTr="00100210">
        <w:tc>
          <w:tcPr>
            <w:tcW w:w="852" w:type="dxa"/>
          </w:tcPr>
          <w:p w14:paraId="0DD34A3A"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 w:val="24"/>
                <w:szCs w:val="24"/>
                <w:lang w:val="ru-RU" w:eastAsia="ja-JP"/>
              </w:rPr>
            </w:pPr>
            <w:r w:rsidRPr="00100210">
              <w:rPr>
                <w:rFonts w:ascii="Times New Roman CYR" w:eastAsia="MS Mincho" w:hAnsi="Times New Roman CYR" w:cs="Times New Roman CYR"/>
                <w:bCs/>
                <w:szCs w:val="24"/>
                <w:lang w:val="ru-RU" w:eastAsia="ja-JP"/>
              </w:rPr>
              <w:t>3.6</w:t>
            </w:r>
          </w:p>
        </w:tc>
        <w:tc>
          <w:tcPr>
            <w:tcW w:w="6520" w:type="dxa"/>
          </w:tcPr>
          <w:p w14:paraId="7DD34F3C"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r w:rsidRPr="00100210">
              <w:rPr>
                <w:rFonts w:ascii="Times New Roman CYR" w:eastAsia="Times New Roman" w:hAnsi="Times New Roman CYR" w:cs="Times New Roman CYR"/>
                <w:szCs w:val="24"/>
                <w:lang w:val="ru-RU" w:eastAsia="ar-SA"/>
              </w:rPr>
              <w:t>Наявність USB порту для підключення зовнішніх пристроїв</w:t>
            </w:r>
          </w:p>
        </w:tc>
        <w:tc>
          <w:tcPr>
            <w:tcW w:w="1559" w:type="dxa"/>
          </w:tcPr>
          <w:p w14:paraId="2E93AB88"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72284842"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382C65D9" w14:textId="77777777" w:rsidTr="00100210">
        <w:tc>
          <w:tcPr>
            <w:tcW w:w="852" w:type="dxa"/>
          </w:tcPr>
          <w:p w14:paraId="7021A5BA"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Cs w:val="24"/>
                <w:lang w:eastAsia="ja-JP"/>
              </w:rPr>
            </w:pPr>
            <w:r w:rsidRPr="00100210">
              <w:rPr>
                <w:rFonts w:ascii="Times New Roman CYR" w:eastAsia="MS Mincho" w:hAnsi="Times New Roman CYR" w:cs="Times New Roman CYR"/>
                <w:bCs/>
                <w:szCs w:val="24"/>
                <w:lang w:eastAsia="ja-JP"/>
              </w:rPr>
              <w:t>3.7</w:t>
            </w:r>
          </w:p>
        </w:tc>
        <w:tc>
          <w:tcPr>
            <w:tcW w:w="6520" w:type="dxa"/>
            <w:vAlign w:val="center"/>
          </w:tcPr>
          <w:p w14:paraId="55DFC5E8" w14:textId="77777777" w:rsidR="00100210" w:rsidRPr="00100210" w:rsidRDefault="00100210" w:rsidP="00100210">
            <w:pPr>
              <w:widowControl w:val="0"/>
              <w:suppressAutoHyphens/>
              <w:autoSpaceDE w:val="0"/>
              <w:spacing w:after="0" w:line="240" w:lineRule="auto"/>
              <w:textAlignment w:val="baseline"/>
              <w:rPr>
                <w:rFonts w:ascii="Times New Roman" w:eastAsia="Times New Roman" w:hAnsi="Times New Roman" w:cs="Times New Roman CYR"/>
                <w:lang w:val="ru-RU" w:eastAsia="uk-UA"/>
              </w:rPr>
            </w:pPr>
            <w:r w:rsidRPr="00100210">
              <w:rPr>
                <w:rFonts w:ascii="Times New Roman" w:eastAsia="Times New Roman" w:hAnsi="Times New Roman" w:cs="Times New Roman CYR"/>
                <w:lang w:val="ru-RU" w:eastAsia="uk-UA"/>
              </w:rPr>
              <w:t>Наявність у виробника запропонованого товару Сертифікату ISO 13485 (надати копію)</w:t>
            </w:r>
          </w:p>
        </w:tc>
        <w:tc>
          <w:tcPr>
            <w:tcW w:w="1559" w:type="dxa"/>
          </w:tcPr>
          <w:p w14:paraId="04B84082"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2B8F6BEE"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205111DB" w14:textId="77777777" w:rsidTr="00100210">
        <w:tc>
          <w:tcPr>
            <w:tcW w:w="852" w:type="dxa"/>
          </w:tcPr>
          <w:p w14:paraId="1A4C0E40"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Cs w:val="24"/>
                <w:lang w:eastAsia="ja-JP"/>
              </w:rPr>
            </w:pPr>
            <w:r w:rsidRPr="00100210">
              <w:rPr>
                <w:rFonts w:ascii="Times New Roman CYR" w:eastAsia="MS Mincho" w:hAnsi="Times New Roman CYR" w:cs="Times New Roman CYR"/>
                <w:bCs/>
                <w:szCs w:val="24"/>
                <w:lang w:eastAsia="ja-JP"/>
              </w:rPr>
              <w:t>3.8</w:t>
            </w:r>
          </w:p>
        </w:tc>
        <w:tc>
          <w:tcPr>
            <w:tcW w:w="6520" w:type="dxa"/>
            <w:vAlign w:val="center"/>
          </w:tcPr>
          <w:p w14:paraId="72CB6D9C" w14:textId="77777777" w:rsidR="00100210" w:rsidRPr="00100210" w:rsidRDefault="00100210" w:rsidP="00100210">
            <w:pPr>
              <w:widowControl w:val="0"/>
              <w:suppressAutoHyphens/>
              <w:autoSpaceDE w:val="0"/>
              <w:spacing w:after="0" w:line="240" w:lineRule="auto"/>
              <w:textAlignment w:val="baseline"/>
              <w:rPr>
                <w:rFonts w:ascii="Times New Roman" w:eastAsia="Times New Roman" w:hAnsi="Times New Roman" w:cs="Times New Roman CYR"/>
                <w:lang w:val="ru-RU" w:eastAsia="uk-UA"/>
              </w:rPr>
            </w:pPr>
            <w:r w:rsidRPr="00100210">
              <w:rPr>
                <w:rFonts w:ascii="Times New Roman" w:eastAsia="Times New Roman" w:hAnsi="Times New Roman" w:cs="Times New Roman CYR"/>
                <w:lang w:val="ru-RU" w:eastAsia="uk-UA"/>
              </w:rPr>
              <w:t>Наявність на запропонований товар у виробника Декларації CE (або сертифікату FDA) про класифікацію товарів як медичних виробів для діагностики in vitro (надати копію)</w:t>
            </w:r>
          </w:p>
        </w:tc>
        <w:tc>
          <w:tcPr>
            <w:tcW w:w="1559" w:type="dxa"/>
          </w:tcPr>
          <w:p w14:paraId="0138FB01"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0201F643"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r w:rsidR="00100210" w:rsidRPr="00100210" w14:paraId="70DD98D8" w14:textId="77777777" w:rsidTr="00100210">
        <w:tc>
          <w:tcPr>
            <w:tcW w:w="852" w:type="dxa"/>
          </w:tcPr>
          <w:p w14:paraId="6126AF4C" w14:textId="77777777" w:rsidR="00100210" w:rsidRPr="00100210" w:rsidRDefault="00100210" w:rsidP="00100210">
            <w:pPr>
              <w:widowControl w:val="0"/>
              <w:suppressAutoHyphens/>
              <w:autoSpaceDE w:val="0"/>
              <w:spacing w:after="0" w:line="240" w:lineRule="auto"/>
              <w:rPr>
                <w:rFonts w:ascii="Times New Roman CYR" w:eastAsia="MS Mincho" w:hAnsi="Times New Roman CYR" w:cs="Times New Roman CYR"/>
                <w:bCs/>
                <w:szCs w:val="24"/>
                <w:lang w:eastAsia="ja-JP"/>
              </w:rPr>
            </w:pPr>
            <w:r w:rsidRPr="00100210">
              <w:rPr>
                <w:rFonts w:ascii="Times New Roman CYR" w:eastAsia="MS Mincho" w:hAnsi="Times New Roman CYR" w:cs="Times New Roman CYR"/>
                <w:bCs/>
                <w:szCs w:val="24"/>
                <w:lang w:eastAsia="ja-JP"/>
              </w:rPr>
              <w:t>3.9</w:t>
            </w:r>
          </w:p>
        </w:tc>
        <w:tc>
          <w:tcPr>
            <w:tcW w:w="6520" w:type="dxa"/>
            <w:vAlign w:val="center"/>
          </w:tcPr>
          <w:p w14:paraId="241FD2A9" w14:textId="77777777" w:rsidR="00100210" w:rsidRPr="00100210" w:rsidRDefault="00100210" w:rsidP="00100210">
            <w:pPr>
              <w:widowControl w:val="0"/>
              <w:suppressAutoHyphens/>
              <w:autoSpaceDE w:val="0"/>
              <w:spacing w:after="0" w:line="240" w:lineRule="auto"/>
              <w:textAlignment w:val="baseline"/>
              <w:rPr>
                <w:rFonts w:ascii="Times New Roman" w:eastAsia="Times New Roman" w:hAnsi="Times New Roman" w:cs="Times New Roman CYR"/>
                <w:lang w:val="ru-RU" w:eastAsia="uk-UA"/>
              </w:rPr>
            </w:pPr>
            <w:r w:rsidRPr="00100210">
              <w:rPr>
                <w:rFonts w:ascii="Times New Roman CYR" w:eastAsia="Times New Roman" w:hAnsi="Times New Roman CYR" w:cs="Times New Roman CYR"/>
                <w:sz w:val="24"/>
                <w:szCs w:val="24"/>
                <w:lang w:val="ru-RU" w:eastAsia="ar-SA"/>
              </w:rPr>
              <w:t>Наявність у представника на території України</w:t>
            </w:r>
            <w:r w:rsidRPr="00100210">
              <w:rPr>
                <w:rFonts w:ascii="Times New Roman CYR" w:eastAsia="Times New Roman" w:hAnsi="Times New Roman CYR" w:cs="Times New Roman CYR"/>
                <w:sz w:val="24"/>
                <w:szCs w:val="24"/>
                <w:lang w:val="ru-RU" w:eastAsia="zh-CN"/>
              </w:rPr>
              <w:t xml:space="preserve"> сертифікату на систему якості підприємства (Сертифікат ISO </w:t>
            </w:r>
            <w:r w:rsidRPr="00100210">
              <w:rPr>
                <w:rFonts w:ascii="Times New Roman CYR" w:eastAsia="Times New Roman" w:hAnsi="Times New Roman CYR" w:cs="Times New Roman CYR"/>
                <w:bCs/>
                <w:sz w:val="24"/>
                <w:szCs w:val="24"/>
                <w:lang w:val="ru-RU" w:eastAsia="zh-CN"/>
              </w:rPr>
              <w:t>14001:2015</w:t>
            </w:r>
            <w:r w:rsidRPr="00100210">
              <w:rPr>
                <w:rFonts w:ascii="Times New Roman CYR" w:eastAsia="Times New Roman" w:hAnsi="Times New Roman CYR" w:cs="Times New Roman CYR"/>
                <w:sz w:val="24"/>
                <w:szCs w:val="24"/>
                <w:lang w:val="ru-RU" w:eastAsia="zh-CN"/>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w:t>
            </w:r>
            <w:r w:rsidRPr="00100210">
              <w:rPr>
                <w:rFonts w:ascii="Times New Roman CYR" w:eastAsia="Times New Roman" w:hAnsi="Times New Roman CYR" w:cs="Times New Roman CYR"/>
                <w:sz w:val="24"/>
                <w:szCs w:val="24"/>
                <w:lang w:val="ru-RU" w:eastAsia="ar-SA"/>
              </w:rPr>
              <w:t>надати копію</w:t>
            </w:r>
            <w:r w:rsidRPr="00100210">
              <w:rPr>
                <w:rFonts w:ascii="Times New Roman CYR" w:eastAsia="Times New Roman" w:hAnsi="Times New Roman CYR" w:cs="Times New Roman CYR"/>
                <w:sz w:val="24"/>
                <w:szCs w:val="24"/>
                <w:lang w:val="ru-RU" w:eastAsia="zh-CN"/>
              </w:rPr>
              <w:t>).</w:t>
            </w:r>
          </w:p>
        </w:tc>
        <w:tc>
          <w:tcPr>
            <w:tcW w:w="1559" w:type="dxa"/>
          </w:tcPr>
          <w:p w14:paraId="73E169AB" w14:textId="77777777" w:rsidR="00100210" w:rsidRPr="00100210" w:rsidRDefault="00100210" w:rsidP="00100210">
            <w:pPr>
              <w:widowControl w:val="0"/>
              <w:suppressAutoHyphens/>
              <w:autoSpaceDE w:val="0"/>
              <w:spacing w:after="0" w:line="240" w:lineRule="auto"/>
              <w:rPr>
                <w:rFonts w:ascii="Times New Roman CYR" w:eastAsia="Times New Roman" w:hAnsi="Times New Roman CYR" w:cs="Times New Roman CYR"/>
                <w:sz w:val="24"/>
                <w:szCs w:val="24"/>
                <w:lang w:val="ru-RU" w:eastAsia="ar-SA"/>
              </w:rPr>
            </w:pPr>
          </w:p>
        </w:tc>
        <w:tc>
          <w:tcPr>
            <w:tcW w:w="1560" w:type="dxa"/>
          </w:tcPr>
          <w:p w14:paraId="299FC1E1" w14:textId="77777777" w:rsidR="00100210" w:rsidRPr="00100210" w:rsidRDefault="00100210" w:rsidP="00100210">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ar-SA"/>
              </w:rPr>
            </w:pPr>
          </w:p>
        </w:tc>
      </w:tr>
    </w:tbl>
    <w:p w14:paraId="003D9AF2" w14:textId="77777777" w:rsidR="00100210" w:rsidRPr="00100210" w:rsidRDefault="00100210" w:rsidP="00100210">
      <w:pPr>
        <w:widowControl w:val="0"/>
        <w:suppressAutoHyphens/>
        <w:autoSpaceDE w:val="0"/>
        <w:spacing w:after="0" w:line="240" w:lineRule="auto"/>
        <w:ind w:left="6798" w:firstLine="426"/>
        <w:jc w:val="right"/>
        <w:rPr>
          <w:rFonts w:ascii="Times New Roman CYR" w:eastAsia="Times New Roman" w:hAnsi="Times New Roman CYR" w:cs="Times New Roman CYR"/>
          <w:sz w:val="24"/>
          <w:szCs w:val="24"/>
          <w:highlight w:val="yellow"/>
          <w:lang w:eastAsia="ar-SA"/>
        </w:rPr>
      </w:pPr>
    </w:p>
    <w:p w14:paraId="20FBAB41" w14:textId="77777777" w:rsidR="00D0240F" w:rsidRDefault="00D0240F" w:rsidP="00D0240F">
      <w:pPr>
        <w:pStyle w:val="afa"/>
        <w:spacing w:after="0" w:afterAutospacing="0"/>
        <w:rPr>
          <w:b/>
          <w:color w:val="000000"/>
          <w:u w:val="single"/>
        </w:rPr>
      </w:pPr>
      <w:r w:rsidRPr="00633187">
        <w:rPr>
          <w:b/>
          <w:color w:val="000000"/>
          <w:u w:val="single"/>
        </w:rPr>
        <w:t>ЗАГАЛЬНІ</w:t>
      </w:r>
      <w:r>
        <w:rPr>
          <w:b/>
          <w:color w:val="000000"/>
          <w:u w:val="single"/>
        </w:rPr>
        <w:t xml:space="preserve"> </w:t>
      </w:r>
      <w:r w:rsidRPr="00633187">
        <w:rPr>
          <w:b/>
          <w:color w:val="000000"/>
          <w:u w:val="single"/>
        </w:rPr>
        <w:t>ВИМОГИ:</w:t>
      </w:r>
    </w:p>
    <w:p w14:paraId="71E5AC09" w14:textId="77777777" w:rsidR="00D0240F" w:rsidRPr="008B0D83" w:rsidRDefault="00D0240F" w:rsidP="00D0240F">
      <w:pPr>
        <w:pStyle w:val="afa"/>
        <w:spacing w:before="0" w:beforeAutospacing="0"/>
        <w:jc w:val="both"/>
        <w:rPr>
          <w:i/>
          <w:color w:val="000000"/>
          <w:sz w:val="22"/>
          <w:szCs w:val="22"/>
        </w:rPr>
      </w:pPr>
      <w:r w:rsidRPr="008B0D83">
        <w:rPr>
          <w:i/>
          <w:color w:val="000000"/>
          <w:sz w:val="22"/>
          <w:szCs w:val="22"/>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1305C3CB" w14:textId="77777777" w:rsidR="00D0240F" w:rsidRDefault="00D0240F" w:rsidP="00D0240F">
      <w:pPr>
        <w:pStyle w:val="afa"/>
        <w:spacing w:after="0" w:afterAutospacing="0"/>
        <w:jc w:val="both"/>
        <w:rPr>
          <w:color w:val="000000"/>
        </w:rPr>
      </w:pPr>
      <w:r w:rsidRPr="00CD76F7">
        <w:rPr>
          <w:color w:val="000000"/>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70D976E7" w14:textId="0D63BF8E" w:rsidR="00100210" w:rsidRPr="00100210" w:rsidRDefault="00D0240F" w:rsidP="00D0240F">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100210" w:rsidRPr="00100210">
        <w:rPr>
          <w:rFonts w:ascii="Times New Roman" w:eastAsia="Times New Roman" w:hAnsi="Times New Roman" w:cs="Times New Roman"/>
          <w:sz w:val="24"/>
          <w:szCs w:val="24"/>
          <w:lang w:eastAsia="zh-CN"/>
        </w:rPr>
        <w:t>. Відповідність технічних характеристик запропонованого Учасником Товару медико-</w:t>
      </w:r>
      <w:r w:rsidR="00100210" w:rsidRPr="00100210">
        <w:rPr>
          <w:rFonts w:ascii="Times New Roman" w:eastAsia="Times New Roman" w:hAnsi="Times New Roman" w:cs="Times New Roman"/>
          <w:sz w:val="24"/>
          <w:szCs w:val="24"/>
          <w:lang w:eastAsia="zh-CN"/>
        </w:rPr>
        <w:lastRenderedPageBreak/>
        <w:t>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61B36052" w14:textId="2BA10A9B" w:rsidR="00100210" w:rsidRPr="00100210" w:rsidRDefault="00D0240F" w:rsidP="00D0240F">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100210" w:rsidRPr="00100210">
        <w:rPr>
          <w:rFonts w:ascii="Times New Roman" w:eastAsia="Times New Roman" w:hAnsi="Times New Roman" w:cs="Times New Roman"/>
          <w:sz w:val="24"/>
          <w:szCs w:val="24"/>
          <w:lang w:eastAsia="zh-CN"/>
        </w:rPr>
        <w:t xml:space="preserve">. Учасник у складі тендерної пропозиції надає копію експлуатаційної документації українською мовою. </w:t>
      </w:r>
    </w:p>
    <w:p w14:paraId="398312EA" w14:textId="2FA71CA8" w:rsidR="00100210" w:rsidRPr="00100210" w:rsidRDefault="00D0240F" w:rsidP="00D0240F">
      <w:pPr>
        <w:widowControl w:val="0"/>
        <w:suppressAutoHyphens/>
        <w:autoSpaceDE w:val="0"/>
        <w:autoSpaceDN w:val="0"/>
        <w:spacing w:after="0" w:line="240"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4</w:t>
      </w:r>
      <w:r w:rsidR="00100210" w:rsidRPr="00100210">
        <w:rPr>
          <w:rFonts w:ascii="Times New Roman" w:eastAsia="Times New Roman" w:hAnsi="Times New Roman" w:cs="Times New Roman"/>
          <w:sz w:val="24"/>
          <w:szCs w:val="24"/>
          <w:lang w:val="ru-RU" w:eastAsia="zh-CN"/>
        </w:rPr>
        <w:t>.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w:t>
      </w:r>
      <w:r>
        <w:rPr>
          <w:rFonts w:ascii="Times New Roman" w:eastAsia="Times New Roman" w:hAnsi="Times New Roman" w:cs="Times New Roman"/>
          <w:sz w:val="24"/>
          <w:szCs w:val="24"/>
          <w:lang w:val="ru-RU" w:eastAsia="zh-CN"/>
        </w:rPr>
        <w:t xml:space="preserve"> </w:t>
      </w:r>
      <w:r w:rsidR="00100210" w:rsidRPr="00100210">
        <w:rPr>
          <w:rFonts w:ascii="Times New Roman" w:eastAsia="Times New Roman" w:hAnsi="Times New Roman" w:cs="Times New Roman"/>
          <w:sz w:val="24"/>
          <w:szCs w:val="24"/>
          <w:lang w:val="ru-RU" w:eastAsia="zh-CN"/>
        </w:rPr>
        <w:t>(і) належним чином.</w:t>
      </w:r>
    </w:p>
    <w:p w14:paraId="74796EC6" w14:textId="3066CE5C" w:rsidR="00100210" w:rsidRPr="00F937FE" w:rsidRDefault="00D0240F" w:rsidP="00D0240F">
      <w:pPr>
        <w:widowControl w:val="0"/>
        <w:suppressAutoHyphens/>
        <w:autoSpaceDE w:val="0"/>
        <w:autoSpaceDN w:val="0"/>
        <w:spacing w:after="0" w:line="240" w:lineRule="auto"/>
        <w:jc w:val="both"/>
        <w:rPr>
          <w:rFonts w:ascii="Times New Roman" w:eastAsia="Times New Roman" w:hAnsi="Times New Roman" w:cs="Times New Roman"/>
          <w:i/>
          <w:iCs/>
          <w:sz w:val="24"/>
          <w:szCs w:val="24"/>
          <w:lang w:val="ru-RU" w:eastAsia="zh-CN"/>
        </w:rPr>
      </w:pPr>
      <w:r>
        <w:rPr>
          <w:rFonts w:ascii="Times New Roman" w:eastAsia="Times New Roman" w:hAnsi="Times New Roman" w:cs="Times New Roman"/>
          <w:sz w:val="24"/>
          <w:szCs w:val="24"/>
          <w:lang w:val="ru-RU" w:eastAsia="zh-CN"/>
        </w:rPr>
        <w:t>5</w:t>
      </w:r>
      <w:r w:rsidR="00100210" w:rsidRPr="00100210">
        <w:rPr>
          <w:rFonts w:ascii="Times New Roman" w:eastAsia="Times New Roman" w:hAnsi="Times New Roman" w:cs="Times New Roman"/>
          <w:sz w:val="24"/>
          <w:szCs w:val="24"/>
          <w:lang w:val="ru-RU" w:eastAsia="zh-CN"/>
        </w:rPr>
        <w:t xml:space="preserve">. Запропоноване Учасником обладнання повинно бути новим та таким, що не було у використанні – </w:t>
      </w:r>
      <w:r w:rsidR="00100210" w:rsidRPr="00F937FE">
        <w:rPr>
          <w:rFonts w:ascii="Times New Roman" w:eastAsia="Times New Roman" w:hAnsi="Times New Roman" w:cs="Times New Roman"/>
          <w:i/>
          <w:iCs/>
          <w:sz w:val="24"/>
          <w:szCs w:val="24"/>
          <w:lang w:val="ru-RU" w:eastAsia="zh-CN"/>
        </w:rPr>
        <w:t>на підтвердження Учасник повинен надати гарантійний лист у складі тендерної пропозиції.</w:t>
      </w:r>
    </w:p>
    <w:p w14:paraId="719BA4FA" w14:textId="48085FF9" w:rsidR="00100210" w:rsidRPr="00F937FE" w:rsidRDefault="00D0240F" w:rsidP="00D0240F">
      <w:pPr>
        <w:widowControl w:val="0"/>
        <w:suppressAutoHyphens/>
        <w:autoSpaceDE w:val="0"/>
        <w:autoSpaceDN w:val="0"/>
        <w:spacing w:after="0" w:line="240" w:lineRule="auto"/>
        <w:jc w:val="both"/>
        <w:rPr>
          <w:rFonts w:ascii="Times New Roman" w:eastAsia="Times New Roman" w:hAnsi="Times New Roman" w:cs="Times New Roman"/>
          <w:i/>
          <w:iCs/>
          <w:sz w:val="24"/>
          <w:szCs w:val="24"/>
          <w:lang w:val="ru-RU" w:eastAsia="zh-CN"/>
        </w:rPr>
      </w:pPr>
      <w:r>
        <w:rPr>
          <w:rFonts w:ascii="Times New Roman" w:eastAsia="Times New Roman" w:hAnsi="Times New Roman" w:cs="Times New Roman"/>
          <w:sz w:val="24"/>
          <w:szCs w:val="24"/>
          <w:lang w:val="ru-RU" w:eastAsia="zh-CN"/>
        </w:rPr>
        <w:t>6</w:t>
      </w:r>
      <w:r w:rsidR="00100210" w:rsidRPr="00100210">
        <w:rPr>
          <w:rFonts w:ascii="Times New Roman" w:eastAsia="Times New Roman" w:hAnsi="Times New Roman" w:cs="Times New Roman"/>
          <w:sz w:val="24"/>
          <w:szCs w:val="24"/>
          <w:lang w:val="ru-RU" w:eastAsia="zh-CN"/>
        </w:rPr>
        <w:t xml:space="preserve">. Гарантійний термін експлуатації товару, що є предметом закупівлі, повинен становити не менше ніж 12 місяців з дати введення в експлуатацію, </w:t>
      </w:r>
      <w:r w:rsidR="00100210" w:rsidRPr="00F937FE">
        <w:rPr>
          <w:rFonts w:ascii="Times New Roman" w:eastAsia="Times New Roman" w:hAnsi="Times New Roman" w:cs="Times New Roman"/>
          <w:i/>
          <w:iCs/>
          <w:sz w:val="24"/>
          <w:szCs w:val="24"/>
          <w:lang w:val="ru-RU" w:eastAsia="zh-CN"/>
        </w:rPr>
        <w:t xml:space="preserve">на підтвердження чого Учасник повинен надати гарантійний лист у складі тендерної пропозиції.  </w:t>
      </w:r>
    </w:p>
    <w:p w14:paraId="7B14FF2E" w14:textId="0D00C5C0" w:rsidR="00100210" w:rsidRPr="00F937FE" w:rsidRDefault="00D0240F" w:rsidP="00D0240F">
      <w:pPr>
        <w:widowControl w:val="0"/>
        <w:suppressAutoHyphens/>
        <w:autoSpaceDE w:val="0"/>
        <w:autoSpaceDN w:val="0"/>
        <w:spacing w:after="0" w:line="240" w:lineRule="auto"/>
        <w:jc w:val="both"/>
        <w:rPr>
          <w:rFonts w:ascii="Times New Roman" w:eastAsia="Times New Roman" w:hAnsi="Times New Roman" w:cs="Times New Roman"/>
          <w:i/>
          <w:iCs/>
          <w:sz w:val="24"/>
          <w:szCs w:val="24"/>
          <w:lang w:val="ru-RU" w:eastAsia="zh-CN"/>
        </w:rPr>
      </w:pPr>
      <w:r>
        <w:rPr>
          <w:rFonts w:ascii="Times New Roman" w:eastAsia="Times New Roman" w:hAnsi="Times New Roman" w:cs="Times New Roman"/>
          <w:sz w:val="24"/>
          <w:szCs w:val="24"/>
          <w:lang w:val="ru-RU" w:eastAsia="zh-CN"/>
        </w:rPr>
        <w:t>7</w:t>
      </w:r>
      <w:r w:rsidR="00100210" w:rsidRPr="00100210">
        <w:rPr>
          <w:rFonts w:ascii="Times New Roman" w:eastAsia="Times New Roman" w:hAnsi="Times New Roman" w:cs="Times New Roman"/>
          <w:sz w:val="24"/>
          <w:szCs w:val="24"/>
          <w:lang w:val="ru-RU" w:eastAsia="zh-CN"/>
        </w:rPr>
        <w:t xml:space="preserve">. Сервісне обслуговування товару, запропонованого Учасником, повинно здійснюватися кваліфікованим(и) працівником(ами), який(і) має(ють) відповідні знання та навички. </w:t>
      </w:r>
      <w:r w:rsidR="00100210" w:rsidRPr="00F937FE">
        <w:rPr>
          <w:rFonts w:ascii="Times New Roman" w:eastAsia="Times New Roman" w:hAnsi="Times New Roman" w:cs="Times New Roman"/>
          <w:i/>
          <w:iCs/>
          <w:sz w:val="24"/>
          <w:szCs w:val="24"/>
          <w:lang w:val="ru-RU" w:eastAsia="zh-CN"/>
        </w:rPr>
        <w:t>Для підтвердження надати гарантійний лист від учасника щодо наявності сервісної служби на території України.</w:t>
      </w:r>
    </w:p>
    <w:p w14:paraId="6F8E8B5B" w14:textId="6292AB77" w:rsidR="00100210" w:rsidRPr="00100210" w:rsidRDefault="00D0240F" w:rsidP="00D0240F">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ru-RU" w:eastAsia="zh-CN"/>
        </w:rPr>
        <w:t>8</w:t>
      </w:r>
      <w:r w:rsidR="00100210" w:rsidRPr="00100210">
        <w:rPr>
          <w:rFonts w:ascii="Times New Roman" w:eastAsia="Times New Roman" w:hAnsi="Times New Roman" w:cs="Times New Roman"/>
          <w:sz w:val="24"/>
          <w:szCs w:val="24"/>
          <w:lang w:val="ru-RU" w:eastAsia="zh-CN"/>
        </w:rPr>
        <w:t>.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w:t>
      </w:r>
      <w:r w:rsidR="00100210" w:rsidRPr="00100210">
        <w:rPr>
          <w:rFonts w:ascii="Times New Roman" w:eastAsia="Times New Roman" w:hAnsi="Times New Roman" w:cs="Times New Roman"/>
          <w:sz w:val="24"/>
          <w:szCs w:val="24"/>
          <w:lang w:eastAsia="zh-CN"/>
        </w:rPr>
        <w:t>.</w:t>
      </w:r>
    </w:p>
    <w:p w14:paraId="4A8527CE" w14:textId="58EE42BC" w:rsidR="00100210" w:rsidRPr="00100210" w:rsidRDefault="00AC36B5" w:rsidP="00AC36B5">
      <w:pPr>
        <w:widowControl w:val="0"/>
        <w:suppressAutoHyphens/>
        <w:autoSpaceDE w:val="0"/>
        <w:spacing w:after="0" w:line="240" w:lineRule="auto"/>
        <w:jc w:val="both"/>
        <w:rPr>
          <w:rFonts w:ascii="Times New Roman CYR" w:eastAsia="Times New Roman" w:hAnsi="Times New Roman CYR" w:cs="Times New Roman CYR"/>
          <w:sz w:val="24"/>
          <w:szCs w:val="24"/>
          <w:highlight w:val="yellow"/>
          <w:lang w:eastAsia="ar-SA"/>
        </w:rPr>
      </w:pPr>
      <w:r>
        <w:rPr>
          <w:rFonts w:ascii="Times New Roman CYR" w:eastAsia="Times New Roman" w:hAnsi="Times New Roman CYR" w:cs="Times New Roman CYR"/>
          <w:sz w:val="24"/>
          <w:szCs w:val="24"/>
          <w:lang w:eastAsia="ar-SA"/>
        </w:rPr>
        <w:t>9</w:t>
      </w:r>
      <w:r w:rsidRPr="00AC36B5">
        <w:rPr>
          <w:rFonts w:ascii="Times New Roman CYR" w:eastAsia="Times New Roman" w:hAnsi="Times New Roman CYR" w:cs="Times New Roman CYR"/>
          <w:sz w:val="24"/>
          <w:szCs w:val="24"/>
          <w:lang w:eastAsia="ar-SA"/>
        </w:rPr>
        <w:t>. Проведення доставки, інсталяції та пуску обладнання за рахунок Учасника (</w:t>
      </w:r>
      <w:r w:rsidRPr="000B38C8">
        <w:rPr>
          <w:rFonts w:ascii="Times New Roman CYR" w:eastAsia="Times New Roman" w:hAnsi="Times New Roman CYR" w:cs="Times New Roman CYR"/>
          <w:i/>
          <w:iCs/>
          <w:sz w:val="24"/>
          <w:szCs w:val="24"/>
          <w:lang w:eastAsia="ar-SA"/>
        </w:rPr>
        <w:t>надати гарантійний лист від Учасника</w:t>
      </w:r>
      <w:r w:rsidRPr="00AC36B5">
        <w:rPr>
          <w:rFonts w:ascii="Times New Roman CYR" w:eastAsia="Times New Roman" w:hAnsi="Times New Roman CYR" w:cs="Times New Roman CYR"/>
          <w:sz w:val="24"/>
          <w:szCs w:val="24"/>
          <w:lang w:eastAsia="ar-SA"/>
        </w:rPr>
        <w:t>).</w:t>
      </w:r>
    </w:p>
    <w:p w14:paraId="0E400C43" w14:textId="02391F2D" w:rsidR="00AC36B5" w:rsidRPr="009869A9" w:rsidRDefault="00AC36B5" w:rsidP="00AC36B5">
      <w:pPr>
        <w:pStyle w:val="afa"/>
        <w:spacing w:before="0" w:beforeAutospacing="0" w:after="0" w:afterAutospacing="0"/>
        <w:jc w:val="both"/>
        <w:rPr>
          <w:b/>
          <w:i/>
          <w:color w:val="000000"/>
          <w:lang w:val="uk-UA"/>
        </w:rPr>
      </w:pPr>
      <w:r>
        <w:rPr>
          <w:color w:val="000000"/>
          <w:lang w:val="uk-UA"/>
        </w:rPr>
        <w:t xml:space="preserve">10. </w:t>
      </w:r>
      <w:r w:rsidRPr="007B0D26">
        <w:rPr>
          <w:color w:val="000000"/>
          <w:lang w:val="uk-UA"/>
        </w:rPr>
        <w:t>При поставці товару має супроводжуватися документами, що підтверджують якість (сертифікат якості, посвідчення якості тощо) із зазначенням даних, що вимагаються чинним законодавством України</w:t>
      </w:r>
      <w:r>
        <w:rPr>
          <w:color w:val="000000"/>
          <w:lang w:val="uk-UA"/>
        </w:rPr>
        <w:t xml:space="preserve"> </w:t>
      </w:r>
      <w:r w:rsidRPr="009869A9">
        <w:rPr>
          <w:b/>
          <w:color w:val="000000"/>
          <w:lang w:val="uk-UA"/>
        </w:rPr>
        <w:t>(</w:t>
      </w:r>
      <w:r w:rsidRPr="009869A9">
        <w:rPr>
          <w:b/>
          <w:i/>
          <w:color w:val="000000"/>
          <w:lang w:val="uk-UA"/>
        </w:rPr>
        <w:t>На підтвердження Учасник у складі пропозиції повинен надати гарантійний лист).</w:t>
      </w:r>
    </w:p>
    <w:p w14:paraId="4A20CFF6" w14:textId="1DBBE32A" w:rsidR="005542F0" w:rsidRDefault="00AC36B5" w:rsidP="00AC36B5">
      <w:pPr>
        <w:shd w:val="clear" w:color="auto" w:fill="FFFFFF"/>
        <w:spacing w:after="0" w:line="240" w:lineRule="auto"/>
        <w:jc w:val="both"/>
        <w:rPr>
          <w:rFonts w:ascii="Times New Roman" w:eastAsia="Times New Roman" w:hAnsi="Times New Roman" w:cs="Times New Roman"/>
          <w:sz w:val="24"/>
          <w:szCs w:val="24"/>
        </w:rPr>
      </w:pPr>
      <w:r w:rsidRPr="00AC36B5">
        <w:rPr>
          <w:rFonts w:ascii="Times New Roman" w:eastAsia="Times New Roman" w:hAnsi="Times New Roman" w:cs="Times New Roman"/>
          <w:sz w:val="24"/>
          <w:szCs w:val="24"/>
        </w:rPr>
        <w:t>11.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5169CF9E" w14:textId="77777777" w:rsidR="004713B2" w:rsidRDefault="004713B2" w:rsidP="00AC36B5">
      <w:pPr>
        <w:shd w:val="clear" w:color="auto" w:fill="FFFFFF"/>
        <w:spacing w:after="0" w:line="240" w:lineRule="auto"/>
        <w:jc w:val="both"/>
        <w:rPr>
          <w:rFonts w:ascii="Times New Roman" w:eastAsia="Times New Roman" w:hAnsi="Times New Roman" w:cs="Times New Roman"/>
          <w:sz w:val="24"/>
          <w:szCs w:val="24"/>
        </w:rPr>
      </w:pPr>
    </w:p>
    <w:p w14:paraId="56F91F7D" w14:textId="77777777" w:rsidR="0075407B" w:rsidRPr="00107890" w:rsidRDefault="00107890" w:rsidP="00107890">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107890">
        <w:rPr>
          <w:rFonts w:ascii="Times New Roman" w:eastAsia="Times New Roman" w:hAnsi="Times New Roman" w:cs="Times New Roman"/>
          <w:i/>
          <w:color w:val="00000A"/>
          <w:sz w:val="24"/>
          <w:szCs w:val="24"/>
          <w:lang w:val="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2E39E30A" w14:textId="77777777" w:rsid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14:paraId="51680EA5" w14:textId="04434AA3" w:rsidR="00AC36B5" w:rsidRDefault="00FB7572" w:rsidP="004713B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FB7572">
        <w:rPr>
          <w:rFonts w:ascii="Times New Roman" w:eastAsia="Times New Roman" w:hAnsi="Times New Roman" w:cs="Times New Roman"/>
          <w:i/>
          <w:color w:val="00000A"/>
          <w:sz w:val="24"/>
          <w:szCs w:val="24"/>
          <w:lang w:val="ru-RU"/>
        </w:rPr>
        <w:t>При наданні еквіваленту учасники повинні надати таблицю відповідності медико-технічним характеристикам з посиланням на сторінку методичних вказівок засобу, що пропонується, а також надати копії методичних вказівок.</w:t>
      </w:r>
    </w:p>
    <w:p w14:paraId="393C768E" w14:textId="77777777" w:rsidR="004713B2" w:rsidRDefault="004713B2" w:rsidP="004713B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
    <w:p w14:paraId="5E6566AB" w14:textId="77777777" w:rsidR="004713B2" w:rsidRDefault="004713B2" w:rsidP="004713B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
    <w:p w14:paraId="422C589E" w14:textId="77777777" w:rsidR="004713B2" w:rsidRPr="004713B2" w:rsidRDefault="004713B2" w:rsidP="004713B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
    <w:p w14:paraId="3E3EC19F" w14:textId="77777777"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14:paraId="0896D1DF" w14:textId="77777777" w:rsidR="00D67BFC" w:rsidRPr="0075407B" w:rsidRDefault="00D67BFC"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14:paraId="7EC4D793" w14:textId="77777777" w:rsidTr="003A3BC7">
        <w:tc>
          <w:tcPr>
            <w:tcW w:w="1781" w:type="pct"/>
          </w:tcPr>
          <w:p w14:paraId="1CFE1B13" w14:textId="77777777"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14:paraId="5B61712E"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14:paraId="443FE447"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14:paraId="62254737" w14:textId="77777777"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14:paraId="4B29F780"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14:paraId="2408C045" w14:textId="77777777"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14:paraId="608F31AA" w14:textId="77777777"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9"/>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3D9E" w14:textId="77777777" w:rsidR="004D17C8" w:rsidRDefault="004D17C8" w:rsidP="00B91DA5">
      <w:pPr>
        <w:spacing w:after="0" w:line="240" w:lineRule="auto"/>
      </w:pPr>
      <w:r>
        <w:separator/>
      </w:r>
    </w:p>
  </w:endnote>
  <w:endnote w:type="continuationSeparator" w:id="0">
    <w:p w14:paraId="3BAA39CE" w14:textId="77777777" w:rsidR="004D17C8" w:rsidRDefault="004D17C8"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58326"/>
      <w:docPartObj>
        <w:docPartGallery w:val="Page Numbers (Bottom of Page)"/>
        <w:docPartUnique/>
      </w:docPartObj>
    </w:sdtPr>
    <w:sdtContent>
      <w:p w14:paraId="4C02D0E5" w14:textId="77777777" w:rsidR="003A3BC7" w:rsidRDefault="003A3BC7">
        <w:pPr>
          <w:pStyle w:val="af8"/>
          <w:jc w:val="right"/>
        </w:pPr>
        <w:r>
          <w:fldChar w:fldCharType="begin"/>
        </w:r>
        <w:r>
          <w:instrText>PAGE   \* MERGEFORMAT</w:instrText>
        </w:r>
        <w:r>
          <w:fldChar w:fldCharType="separate"/>
        </w:r>
        <w:r w:rsidRPr="003D7A8F">
          <w:rPr>
            <w:noProof/>
            <w:lang w:val="ru-RU"/>
          </w:rPr>
          <w:t>4</w:t>
        </w:r>
        <w:r>
          <w:fldChar w:fldCharType="end"/>
        </w:r>
      </w:p>
    </w:sdtContent>
  </w:sdt>
  <w:p w14:paraId="2314BF87" w14:textId="77777777" w:rsidR="003A3BC7" w:rsidRDefault="003A3BC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E311" w14:textId="77777777" w:rsidR="004D17C8" w:rsidRDefault="004D17C8" w:rsidP="00B91DA5">
      <w:pPr>
        <w:spacing w:after="0" w:line="240" w:lineRule="auto"/>
      </w:pPr>
      <w:r>
        <w:separator/>
      </w:r>
    </w:p>
  </w:footnote>
  <w:footnote w:type="continuationSeparator" w:id="0">
    <w:p w14:paraId="4383BC58" w14:textId="77777777" w:rsidR="004D17C8" w:rsidRDefault="004D17C8"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56"/>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8A011A"/>
    <w:multiLevelType w:val="hybridMultilevel"/>
    <w:tmpl w:val="C2780C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15:restartNumberingAfterBreak="0">
    <w:nsid w:val="0BD46FDA"/>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3850F77"/>
    <w:multiLevelType w:val="hybridMultilevel"/>
    <w:tmpl w:val="E3306A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6"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7" w15:restartNumberingAfterBreak="0">
    <w:nsid w:val="468F1B4F"/>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D3D536B"/>
    <w:multiLevelType w:val="hybridMultilevel"/>
    <w:tmpl w:val="AA9CB1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16cid:durableId="1992827152">
    <w:abstractNumId w:val="9"/>
  </w:num>
  <w:num w:numId="2" w16cid:durableId="245847729">
    <w:abstractNumId w:val="5"/>
  </w:num>
  <w:num w:numId="3" w16cid:durableId="992875280">
    <w:abstractNumId w:val="6"/>
  </w:num>
  <w:num w:numId="4" w16cid:durableId="20980627">
    <w:abstractNumId w:val="2"/>
  </w:num>
  <w:num w:numId="5" w16cid:durableId="460920964">
    <w:abstractNumId w:val="11"/>
  </w:num>
  <w:num w:numId="6" w16cid:durableId="1817525572">
    <w:abstractNumId w:val="10"/>
  </w:num>
  <w:num w:numId="7" w16cid:durableId="1648902860">
    <w:abstractNumId w:val="8"/>
  </w:num>
  <w:num w:numId="8" w16cid:durableId="56901732">
    <w:abstractNumId w:val="0"/>
  </w:num>
  <w:num w:numId="9" w16cid:durableId="99688625">
    <w:abstractNumId w:val="7"/>
  </w:num>
  <w:num w:numId="10" w16cid:durableId="1694727731">
    <w:abstractNumId w:val="3"/>
  </w:num>
  <w:num w:numId="11" w16cid:durableId="742415833">
    <w:abstractNumId w:val="1"/>
  </w:num>
  <w:num w:numId="12" w16cid:durableId="488980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1D"/>
    <w:rsid w:val="0001233B"/>
    <w:rsid w:val="000158EA"/>
    <w:rsid w:val="00016A5D"/>
    <w:rsid w:val="00020981"/>
    <w:rsid w:val="000233FC"/>
    <w:rsid w:val="00034084"/>
    <w:rsid w:val="00036434"/>
    <w:rsid w:val="0003794C"/>
    <w:rsid w:val="000434F8"/>
    <w:rsid w:val="00043B35"/>
    <w:rsid w:val="00061545"/>
    <w:rsid w:val="0006533B"/>
    <w:rsid w:val="00072569"/>
    <w:rsid w:val="00083ABD"/>
    <w:rsid w:val="00087E9F"/>
    <w:rsid w:val="000B1631"/>
    <w:rsid w:val="000B38C8"/>
    <w:rsid w:val="000B449F"/>
    <w:rsid w:val="000B61ED"/>
    <w:rsid w:val="000C59CB"/>
    <w:rsid w:val="000D0A41"/>
    <w:rsid w:val="000E0748"/>
    <w:rsid w:val="000E1B98"/>
    <w:rsid w:val="000E286B"/>
    <w:rsid w:val="000F1E82"/>
    <w:rsid w:val="00100210"/>
    <w:rsid w:val="00101040"/>
    <w:rsid w:val="00106CFA"/>
    <w:rsid w:val="00107890"/>
    <w:rsid w:val="00126CE4"/>
    <w:rsid w:val="00127F6A"/>
    <w:rsid w:val="0013005E"/>
    <w:rsid w:val="00136371"/>
    <w:rsid w:val="00137580"/>
    <w:rsid w:val="00153FD8"/>
    <w:rsid w:val="00161CD4"/>
    <w:rsid w:val="00167299"/>
    <w:rsid w:val="001755EE"/>
    <w:rsid w:val="001812DD"/>
    <w:rsid w:val="0018215E"/>
    <w:rsid w:val="00183D96"/>
    <w:rsid w:val="00183F6C"/>
    <w:rsid w:val="001875DB"/>
    <w:rsid w:val="001A3216"/>
    <w:rsid w:val="001A4B1D"/>
    <w:rsid w:val="001A4F80"/>
    <w:rsid w:val="001A7109"/>
    <w:rsid w:val="001A74E8"/>
    <w:rsid w:val="001B1B7B"/>
    <w:rsid w:val="001B6729"/>
    <w:rsid w:val="001C04D9"/>
    <w:rsid w:val="001C1DD7"/>
    <w:rsid w:val="001C6914"/>
    <w:rsid w:val="001C741C"/>
    <w:rsid w:val="001E2A8B"/>
    <w:rsid w:val="001F3776"/>
    <w:rsid w:val="002006DA"/>
    <w:rsid w:val="002019FB"/>
    <w:rsid w:val="00203A26"/>
    <w:rsid w:val="002056B9"/>
    <w:rsid w:val="00206C18"/>
    <w:rsid w:val="00215C05"/>
    <w:rsid w:val="00217C87"/>
    <w:rsid w:val="002215DF"/>
    <w:rsid w:val="00225416"/>
    <w:rsid w:val="00231975"/>
    <w:rsid w:val="00234966"/>
    <w:rsid w:val="002528A0"/>
    <w:rsid w:val="00252FA9"/>
    <w:rsid w:val="00264D59"/>
    <w:rsid w:val="00270D2E"/>
    <w:rsid w:val="00272A66"/>
    <w:rsid w:val="00272C53"/>
    <w:rsid w:val="00277BFC"/>
    <w:rsid w:val="00281CC5"/>
    <w:rsid w:val="00286B9E"/>
    <w:rsid w:val="002914F3"/>
    <w:rsid w:val="00294799"/>
    <w:rsid w:val="00295E37"/>
    <w:rsid w:val="00297237"/>
    <w:rsid w:val="002A0062"/>
    <w:rsid w:val="002A0302"/>
    <w:rsid w:val="002A4C6E"/>
    <w:rsid w:val="002A7C96"/>
    <w:rsid w:val="002B62C6"/>
    <w:rsid w:val="002C1C0D"/>
    <w:rsid w:val="002C7176"/>
    <w:rsid w:val="002C7918"/>
    <w:rsid w:val="002D53F4"/>
    <w:rsid w:val="002E7BE3"/>
    <w:rsid w:val="002F3D80"/>
    <w:rsid w:val="00300712"/>
    <w:rsid w:val="00314211"/>
    <w:rsid w:val="00316E07"/>
    <w:rsid w:val="0032103D"/>
    <w:rsid w:val="00325266"/>
    <w:rsid w:val="00325596"/>
    <w:rsid w:val="00327A16"/>
    <w:rsid w:val="00361820"/>
    <w:rsid w:val="003722E6"/>
    <w:rsid w:val="00374462"/>
    <w:rsid w:val="00375C8B"/>
    <w:rsid w:val="00382676"/>
    <w:rsid w:val="00396C3F"/>
    <w:rsid w:val="003A233C"/>
    <w:rsid w:val="003A3BC7"/>
    <w:rsid w:val="003B1823"/>
    <w:rsid w:val="003B3C63"/>
    <w:rsid w:val="003B7732"/>
    <w:rsid w:val="003D0147"/>
    <w:rsid w:val="003D22BB"/>
    <w:rsid w:val="003D54C5"/>
    <w:rsid w:val="003D6A0B"/>
    <w:rsid w:val="003D7A8F"/>
    <w:rsid w:val="003D7D9C"/>
    <w:rsid w:val="003E7511"/>
    <w:rsid w:val="003F4540"/>
    <w:rsid w:val="004017DD"/>
    <w:rsid w:val="00404088"/>
    <w:rsid w:val="0040504F"/>
    <w:rsid w:val="00405883"/>
    <w:rsid w:val="00415C2C"/>
    <w:rsid w:val="00433E52"/>
    <w:rsid w:val="004349C0"/>
    <w:rsid w:val="004469FE"/>
    <w:rsid w:val="00446C32"/>
    <w:rsid w:val="00457F13"/>
    <w:rsid w:val="004606D6"/>
    <w:rsid w:val="00460BB9"/>
    <w:rsid w:val="004654D6"/>
    <w:rsid w:val="00467A01"/>
    <w:rsid w:val="004713B2"/>
    <w:rsid w:val="00476B56"/>
    <w:rsid w:val="004827C5"/>
    <w:rsid w:val="00493CBD"/>
    <w:rsid w:val="00497957"/>
    <w:rsid w:val="004A2E5A"/>
    <w:rsid w:val="004A5DA8"/>
    <w:rsid w:val="004B10EC"/>
    <w:rsid w:val="004B1403"/>
    <w:rsid w:val="004B6BEE"/>
    <w:rsid w:val="004D17C8"/>
    <w:rsid w:val="004D24F9"/>
    <w:rsid w:val="004E61F7"/>
    <w:rsid w:val="004F07B5"/>
    <w:rsid w:val="004F58B6"/>
    <w:rsid w:val="004F618A"/>
    <w:rsid w:val="00501E52"/>
    <w:rsid w:val="005043D3"/>
    <w:rsid w:val="00512DD8"/>
    <w:rsid w:val="005176D4"/>
    <w:rsid w:val="005230BD"/>
    <w:rsid w:val="00527B25"/>
    <w:rsid w:val="00532875"/>
    <w:rsid w:val="00534C1D"/>
    <w:rsid w:val="0053541F"/>
    <w:rsid w:val="005375BA"/>
    <w:rsid w:val="00537AD6"/>
    <w:rsid w:val="005406E5"/>
    <w:rsid w:val="00543A2A"/>
    <w:rsid w:val="00547028"/>
    <w:rsid w:val="00550FF5"/>
    <w:rsid w:val="005542F0"/>
    <w:rsid w:val="005612AC"/>
    <w:rsid w:val="00561781"/>
    <w:rsid w:val="00562BC9"/>
    <w:rsid w:val="005704C1"/>
    <w:rsid w:val="00576FC7"/>
    <w:rsid w:val="005801C6"/>
    <w:rsid w:val="00597822"/>
    <w:rsid w:val="005A22D4"/>
    <w:rsid w:val="005B0F80"/>
    <w:rsid w:val="005B5A9E"/>
    <w:rsid w:val="005C1271"/>
    <w:rsid w:val="005C188E"/>
    <w:rsid w:val="005C3495"/>
    <w:rsid w:val="005C690E"/>
    <w:rsid w:val="005D2A44"/>
    <w:rsid w:val="005D47A6"/>
    <w:rsid w:val="005D7C82"/>
    <w:rsid w:val="005E54AF"/>
    <w:rsid w:val="005F2AD1"/>
    <w:rsid w:val="00615F66"/>
    <w:rsid w:val="00620BDF"/>
    <w:rsid w:val="00624B7D"/>
    <w:rsid w:val="00626DB8"/>
    <w:rsid w:val="00633187"/>
    <w:rsid w:val="006363A6"/>
    <w:rsid w:val="00636B87"/>
    <w:rsid w:val="00640CED"/>
    <w:rsid w:val="006433CC"/>
    <w:rsid w:val="00646063"/>
    <w:rsid w:val="006611DF"/>
    <w:rsid w:val="0067444A"/>
    <w:rsid w:val="0067494B"/>
    <w:rsid w:val="0067541A"/>
    <w:rsid w:val="006805E8"/>
    <w:rsid w:val="006814B5"/>
    <w:rsid w:val="006936FF"/>
    <w:rsid w:val="006A6E2E"/>
    <w:rsid w:val="006B2332"/>
    <w:rsid w:val="006C5C9D"/>
    <w:rsid w:val="006C68DA"/>
    <w:rsid w:val="006D13A0"/>
    <w:rsid w:val="006D5990"/>
    <w:rsid w:val="006D6842"/>
    <w:rsid w:val="006E5B4C"/>
    <w:rsid w:val="007022D7"/>
    <w:rsid w:val="00706F59"/>
    <w:rsid w:val="00707DD8"/>
    <w:rsid w:val="00715431"/>
    <w:rsid w:val="00720D6C"/>
    <w:rsid w:val="00734838"/>
    <w:rsid w:val="00736CDE"/>
    <w:rsid w:val="00744047"/>
    <w:rsid w:val="00744A1B"/>
    <w:rsid w:val="00753D7D"/>
    <w:rsid w:val="0075407B"/>
    <w:rsid w:val="0075425A"/>
    <w:rsid w:val="00760CE5"/>
    <w:rsid w:val="007633DA"/>
    <w:rsid w:val="00765D85"/>
    <w:rsid w:val="007676C8"/>
    <w:rsid w:val="007721CF"/>
    <w:rsid w:val="00772F6C"/>
    <w:rsid w:val="00774673"/>
    <w:rsid w:val="00774A76"/>
    <w:rsid w:val="00781AB4"/>
    <w:rsid w:val="00786B1C"/>
    <w:rsid w:val="0079028D"/>
    <w:rsid w:val="0079108F"/>
    <w:rsid w:val="007A2FAC"/>
    <w:rsid w:val="007A4715"/>
    <w:rsid w:val="007B06B2"/>
    <w:rsid w:val="007B0D26"/>
    <w:rsid w:val="007B15DC"/>
    <w:rsid w:val="007B1806"/>
    <w:rsid w:val="007C1D4A"/>
    <w:rsid w:val="007D2F5B"/>
    <w:rsid w:val="007E504A"/>
    <w:rsid w:val="007F039B"/>
    <w:rsid w:val="007F4DF7"/>
    <w:rsid w:val="008062B4"/>
    <w:rsid w:val="00806E75"/>
    <w:rsid w:val="0081196A"/>
    <w:rsid w:val="00812363"/>
    <w:rsid w:val="008125A6"/>
    <w:rsid w:val="00817E5C"/>
    <w:rsid w:val="00832019"/>
    <w:rsid w:val="00833E92"/>
    <w:rsid w:val="00837AF9"/>
    <w:rsid w:val="00841C93"/>
    <w:rsid w:val="00846B0B"/>
    <w:rsid w:val="00851F35"/>
    <w:rsid w:val="0086599D"/>
    <w:rsid w:val="00874968"/>
    <w:rsid w:val="008874BE"/>
    <w:rsid w:val="00896828"/>
    <w:rsid w:val="008A1478"/>
    <w:rsid w:val="008B0821"/>
    <w:rsid w:val="008B0D83"/>
    <w:rsid w:val="008B145C"/>
    <w:rsid w:val="008B4753"/>
    <w:rsid w:val="008C3146"/>
    <w:rsid w:val="008C3F63"/>
    <w:rsid w:val="008C5266"/>
    <w:rsid w:val="008D4504"/>
    <w:rsid w:val="008E0293"/>
    <w:rsid w:val="008E1E27"/>
    <w:rsid w:val="008E1EC3"/>
    <w:rsid w:val="008F12DE"/>
    <w:rsid w:val="008F4DBE"/>
    <w:rsid w:val="009001AA"/>
    <w:rsid w:val="00900400"/>
    <w:rsid w:val="009079AD"/>
    <w:rsid w:val="00907DDC"/>
    <w:rsid w:val="00913FD3"/>
    <w:rsid w:val="00914352"/>
    <w:rsid w:val="0092066F"/>
    <w:rsid w:val="009212E9"/>
    <w:rsid w:val="00922D7C"/>
    <w:rsid w:val="00923C35"/>
    <w:rsid w:val="0092682C"/>
    <w:rsid w:val="009321C7"/>
    <w:rsid w:val="0093750C"/>
    <w:rsid w:val="00940BAD"/>
    <w:rsid w:val="00956E3F"/>
    <w:rsid w:val="00963F8F"/>
    <w:rsid w:val="00965B42"/>
    <w:rsid w:val="00967565"/>
    <w:rsid w:val="009742D9"/>
    <w:rsid w:val="00977A96"/>
    <w:rsid w:val="00986079"/>
    <w:rsid w:val="0098655E"/>
    <w:rsid w:val="00993B52"/>
    <w:rsid w:val="009A4269"/>
    <w:rsid w:val="009A661E"/>
    <w:rsid w:val="009B1A00"/>
    <w:rsid w:val="009C3114"/>
    <w:rsid w:val="009F445D"/>
    <w:rsid w:val="009F4A47"/>
    <w:rsid w:val="009F4FFE"/>
    <w:rsid w:val="009F6753"/>
    <w:rsid w:val="009F7C49"/>
    <w:rsid w:val="00A068E0"/>
    <w:rsid w:val="00A11FE5"/>
    <w:rsid w:val="00A12963"/>
    <w:rsid w:val="00A21C2D"/>
    <w:rsid w:val="00A275E9"/>
    <w:rsid w:val="00A31C32"/>
    <w:rsid w:val="00A31DA5"/>
    <w:rsid w:val="00A36BC4"/>
    <w:rsid w:val="00A374B7"/>
    <w:rsid w:val="00A5338E"/>
    <w:rsid w:val="00A53B3C"/>
    <w:rsid w:val="00A54231"/>
    <w:rsid w:val="00A549BB"/>
    <w:rsid w:val="00A60D78"/>
    <w:rsid w:val="00A63205"/>
    <w:rsid w:val="00A63C9F"/>
    <w:rsid w:val="00A71BB1"/>
    <w:rsid w:val="00A737C5"/>
    <w:rsid w:val="00A75B78"/>
    <w:rsid w:val="00A80F5E"/>
    <w:rsid w:val="00A814A7"/>
    <w:rsid w:val="00A82957"/>
    <w:rsid w:val="00A925AB"/>
    <w:rsid w:val="00AA31A4"/>
    <w:rsid w:val="00AC36B5"/>
    <w:rsid w:val="00AC3F92"/>
    <w:rsid w:val="00AC691B"/>
    <w:rsid w:val="00AD12D4"/>
    <w:rsid w:val="00AD3943"/>
    <w:rsid w:val="00B008C8"/>
    <w:rsid w:val="00B06569"/>
    <w:rsid w:val="00B27F70"/>
    <w:rsid w:val="00B36A02"/>
    <w:rsid w:val="00B429FA"/>
    <w:rsid w:val="00B61FDF"/>
    <w:rsid w:val="00B6331A"/>
    <w:rsid w:val="00B63ACA"/>
    <w:rsid w:val="00B63CD0"/>
    <w:rsid w:val="00B66CD9"/>
    <w:rsid w:val="00B72E43"/>
    <w:rsid w:val="00B73164"/>
    <w:rsid w:val="00B91DA5"/>
    <w:rsid w:val="00B948FC"/>
    <w:rsid w:val="00B96518"/>
    <w:rsid w:val="00BA269A"/>
    <w:rsid w:val="00BD2724"/>
    <w:rsid w:val="00BE4709"/>
    <w:rsid w:val="00BE5D89"/>
    <w:rsid w:val="00C05A7B"/>
    <w:rsid w:val="00C1078D"/>
    <w:rsid w:val="00C212D9"/>
    <w:rsid w:val="00C21C8A"/>
    <w:rsid w:val="00C22261"/>
    <w:rsid w:val="00C225E2"/>
    <w:rsid w:val="00C23322"/>
    <w:rsid w:val="00C23497"/>
    <w:rsid w:val="00C26A87"/>
    <w:rsid w:val="00C33DD5"/>
    <w:rsid w:val="00C343AE"/>
    <w:rsid w:val="00C40AF4"/>
    <w:rsid w:val="00C40C91"/>
    <w:rsid w:val="00C42C8D"/>
    <w:rsid w:val="00C71AE5"/>
    <w:rsid w:val="00C744B0"/>
    <w:rsid w:val="00C759F5"/>
    <w:rsid w:val="00C87991"/>
    <w:rsid w:val="00C90E07"/>
    <w:rsid w:val="00CA167E"/>
    <w:rsid w:val="00CA78FD"/>
    <w:rsid w:val="00CB0408"/>
    <w:rsid w:val="00CD76F7"/>
    <w:rsid w:val="00CE3999"/>
    <w:rsid w:val="00CE60D7"/>
    <w:rsid w:val="00CF3B22"/>
    <w:rsid w:val="00D0240F"/>
    <w:rsid w:val="00D02ADF"/>
    <w:rsid w:val="00D05B55"/>
    <w:rsid w:val="00D06765"/>
    <w:rsid w:val="00D13427"/>
    <w:rsid w:val="00D14075"/>
    <w:rsid w:val="00D14CCE"/>
    <w:rsid w:val="00D16904"/>
    <w:rsid w:val="00D21DDD"/>
    <w:rsid w:val="00D24733"/>
    <w:rsid w:val="00D24F02"/>
    <w:rsid w:val="00D33C1A"/>
    <w:rsid w:val="00D40A4B"/>
    <w:rsid w:val="00D5412C"/>
    <w:rsid w:val="00D57B8F"/>
    <w:rsid w:val="00D668EC"/>
    <w:rsid w:val="00D66A06"/>
    <w:rsid w:val="00D67BFC"/>
    <w:rsid w:val="00D75CF3"/>
    <w:rsid w:val="00D83371"/>
    <w:rsid w:val="00D84104"/>
    <w:rsid w:val="00D847D6"/>
    <w:rsid w:val="00DA23EC"/>
    <w:rsid w:val="00DB01FB"/>
    <w:rsid w:val="00DB3CAF"/>
    <w:rsid w:val="00DC20D4"/>
    <w:rsid w:val="00DD1F18"/>
    <w:rsid w:val="00DD2349"/>
    <w:rsid w:val="00DD5408"/>
    <w:rsid w:val="00DE7E17"/>
    <w:rsid w:val="00DF2A1B"/>
    <w:rsid w:val="00E0348C"/>
    <w:rsid w:val="00E1214F"/>
    <w:rsid w:val="00E13166"/>
    <w:rsid w:val="00E14B65"/>
    <w:rsid w:val="00E14D06"/>
    <w:rsid w:val="00E24462"/>
    <w:rsid w:val="00E269EF"/>
    <w:rsid w:val="00E27B4A"/>
    <w:rsid w:val="00E303B9"/>
    <w:rsid w:val="00E34BB2"/>
    <w:rsid w:val="00E405A2"/>
    <w:rsid w:val="00E42445"/>
    <w:rsid w:val="00E50560"/>
    <w:rsid w:val="00E51ECF"/>
    <w:rsid w:val="00E552AE"/>
    <w:rsid w:val="00E70384"/>
    <w:rsid w:val="00E7447A"/>
    <w:rsid w:val="00E76E64"/>
    <w:rsid w:val="00E77A07"/>
    <w:rsid w:val="00E90E99"/>
    <w:rsid w:val="00EA034C"/>
    <w:rsid w:val="00EA4D5A"/>
    <w:rsid w:val="00EB47F8"/>
    <w:rsid w:val="00EB62CC"/>
    <w:rsid w:val="00EB71E2"/>
    <w:rsid w:val="00ED68BE"/>
    <w:rsid w:val="00EE4F03"/>
    <w:rsid w:val="00EF5577"/>
    <w:rsid w:val="00EF6150"/>
    <w:rsid w:val="00F01FDC"/>
    <w:rsid w:val="00F102C5"/>
    <w:rsid w:val="00F10334"/>
    <w:rsid w:val="00F1281A"/>
    <w:rsid w:val="00F162A1"/>
    <w:rsid w:val="00F16F75"/>
    <w:rsid w:val="00F20F7E"/>
    <w:rsid w:val="00F215BE"/>
    <w:rsid w:val="00F2663E"/>
    <w:rsid w:val="00F3354B"/>
    <w:rsid w:val="00F55FAF"/>
    <w:rsid w:val="00F568E1"/>
    <w:rsid w:val="00F6011B"/>
    <w:rsid w:val="00F80BD7"/>
    <w:rsid w:val="00F8750C"/>
    <w:rsid w:val="00F93283"/>
    <w:rsid w:val="00F937FE"/>
    <w:rsid w:val="00FA04FE"/>
    <w:rsid w:val="00FA2918"/>
    <w:rsid w:val="00FA4B6F"/>
    <w:rsid w:val="00FB4C59"/>
    <w:rsid w:val="00FB7572"/>
    <w:rsid w:val="00FC2C8E"/>
    <w:rsid w:val="00FC4EC6"/>
    <w:rsid w:val="00FD6101"/>
    <w:rsid w:val="00FE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923D"/>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94C"/>
  </w:style>
  <w:style w:type="paragraph" w:styleId="1">
    <w:name w:val="heading 1"/>
    <w:basedOn w:val="a"/>
    <w:next w:val="a"/>
    <w:link w:val="10"/>
    <w:uiPriority w:val="9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9"/>
    <w:rsid w:val="00E14D06"/>
    <w:rPr>
      <w:b/>
      <w:sz w:val="48"/>
      <w:szCs w:val="48"/>
    </w:rPr>
  </w:style>
  <w:style w:type="paragraph" w:customStyle="1" w:styleId="11">
    <w:name w:val="Абзац списка1"/>
    <w:basedOn w:val="a"/>
    <w:uiPriority w:val="99"/>
    <w:rsid w:val="002D53F4"/>
    <w:pPr>
      <w:spacing w:after="200" w:line="276" w:lineRule="auto"/>
      <w:ind w:left="720"/>
    </w:pPr>
    <w:rPr>
      <w:rFonts w:eastAsia="Times New Roman"/>
      <w:lang w:val="ru-RU" w:eastAsia="en-US"/>
    </w:rPr>
  </w:style>
  <w:style w:type="paragraph" w:customStyle="1" w:styleId="Default">
    <w:name w:val="Default"/>
    <w:rsid w:val="00707DD8"/>
    <w:pPr>
      <w:autoSpaceDE w:val="0"/>
      <w:autoSpaceDN w:val="0"/>
      <w:adjustRightInd w:val="0"/>
      <w:spacing w:after="0" w:line="240" w:lineRule="auto"/>
    </w:pPr>
    <w:rPr>
      <w:color w:val="000000"/>
      <w:sz w:val="24"/>
      <w:szCs w:val="24"/>
      <w:lang w:val="ru-RU"/>
    </w:rPr>
  </w:style>
  <w:style w:type="paragraph" w:styleId="afb">
    <w:name w:val="No Spacing"/>
    <w:uiPriority w:val="1"/>
    <w:qFormat/>
    <w:rsid w:val="00707DD8"/>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EC0C8-6843-403B-84F2-3B69FCC5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469</cp:revision>
  <dcterms:created xsi:type="dcterms:W3CDTF">2022-08-17T14:44:00Z</dcterms:created>
  <dcterms:modified xsi:type="dcterms:W3CDTF">2024-02-23T07:11:00Z</dcterms:modified>
</cp:coreProperties>
</file>