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73D3" w14:textId="77777777" w:rsidR="000C70EE" w:rsidRPr="00A33FEB" w:rsidRDefault="000C70EE" w:rsidP="000C70EE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33FEB">
        <w:rPr>
          <w:rFonts w:ascii="Times New Roman" w:hAnsi="Times New Roman" w:cs="Times New Roman"/>
          <w:b/>
          <w:sz w:val="22"/>
          <w:szCs w:val="22"/>
        </w:rPr>
        <w:t xml:space="preserve">Додаток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A33FE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BE35885" w14:textId="77777777" w:rsidR="000C70EE" w:rsidRPr="00A33FEB" w:rsidRDefault="000C70EE" w:rsidP="000C70EE">
      <w:pPr>
        <w:spacing w:line="240" w:lineRule="auto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33FEB">
        <w:rPr>
          <w:rFonts w:ascii="Times New Roman" w:hAnsi="Times New Roman" w:cs="Times New Roman"/>
          <w:b/>
          <w:sz w:val="22"/>
          <w:szCs w:val="22"/>
        </w:rPr>
        <w:t>тендерної документації</w:t>
      </w:r>
    </w:p>
    <w:p w14:paraId="1BC7C242" w14:textId="77777777" w:rsidR="000C70EE" w:rsidRPr="00A635AB" w:rsidRDefault="000C70EE" w:rsidP="000C70EE">
      <w:pPr>
        <w:spacing w:line="240" w:lineRule="auto"/>
        <w:jc w:val="center"/>
        <w:rPr>
          <w:rFonts w:ascii="Times New Roman" w:eastAsia="Arial" w:hAnsi="Times New Roman" w:cs="Times New Roman"/>
          <w:b/>
          <w:iCs/>
          <w:lang w:eastAsia="ru-RU"/>
        </w:rPr>
      </w:pPr>
      <w:r w:rsidRPr="00A635AB">
        <w:rPr>
          <w:rFonts w:ascii="Times New Roman" w:eastAsia="Arial" w:hAnsi="Times New Roman" w:cs="Times New Roman"/>
          <w:b/>
          <w:lang w:eastAsia="ru-RU"/>
        </w:rPr>
        <w:t xml:space="preserve">ІНФОРМАЦІЯ ПРО ТЕХНІЧНІ, ЯКІСНІ ТА КІЛЬКІСНІ ХАРАКТЕРИСТИКИ </w:t>
      </w:r>
      <w:r w:rsidRPr="00A635AB">
        <w:rPr>
          <w:rFonts w:ascii="Times New Roman" w:eastAsia="Arial" w:hAnsi="Times New Roman" w:cs="Times New Roman"/>
          <w:b/>
          <w:iCs/>
          <w:lang w:eastAsia="ru-RU"/>
        </w:rPr>
        <w:t>ПРЕДМЕТА ЗАКУПІВЛІ</w:t>
      </w:r>
    </w:p>
    <w:p w14:paraId="59740C95" w14:textId="77777777" w:rsidR="000C70EE" w:rsidRDefault="000C70EE" w:rsidP="000C70EE">
      <w:pPr>
        <w:pStyle w:val="1"/>
        <w:jc w:val="center"/>
        <w:rPr>
          <w:b/>
        </w:rPr>
      </w:pPr>
      <w:r w:rsidRPr="00A635AB">
        <w:rPr>
          <w:rFonts w:ascii="Times New Roman" w:hAnsi="Times New Roman"/>
          <w:b/>
          <w:sz w:val="24"/>
          <w:szCs w:val="24"/>
        </w:rPr>
        <w:t>МЕДИКО-ТЕХНІЧНІ ВИМОГИ</w:t>
      </w:r>
    </w:p>
    <w:p w14:paraId="54138938" w14:textId="77777777" w:rsidR="000C70EE" w:rsidRDefault="000C70EE" w:rsidP="000C70EE">
      <w:pPr>
        <w:pStyle w:val="1"/>
        <w:rPr>
          <w:b/>
        </w:rPr>
      </w:pPr>
    </w:p>
    <w:tbl>
      <w:tblPr>
        <w:tblW w:w="157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1984"/>
        <w:gridCol w:w="6521"/>
        <w:gridCol w:w="992"/>
        <w:gridCol w:w="1559"/>
        <w:gridCol w:w="851"/>
      </w:tblGrid>
      <w:tr w:rsidR="000C70EE" w:rsidRPr="00CC3097" w14:paraId="1546CD8A" w14:textId="77777777" w:rsidTr="00BD4D3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0210" w14:textId="77777777" w:rsidR="000C70EE" w:rsidRPr="00B24E06" w:rsidRDefault="000C70EE" w:rsidP="00BD4D35">
            <w:pPr>
              <w:pStyle w:val="a5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B24E06">
              <w:rPr>
                <w:rFonts w:eastAsia="Calibri"/>
                <w:sz w:val="22"/>
                <w:szCs w:val="22"/>
                <w:lang w:val="uk-UA"/>
              </w:rPr>
              <w:t>№</w:t>
            </w:r>
          </w:p>
          <w:p w14:paraId="3F4FD5B0" w14:textId="77777777" w:rsidR="000C70EE" w:rsidRPr="00B24E06" w:rsidRDefault="000C70EE" w:rsidP="00BD4D35">
            <w:pPr>
              <w:pStyle w:val="a5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B24E06">
              <w:rPr>
                <w:rFonts w:eastAsia="Calibri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8B6A" w14:textId="77777777" w:rsidR="000C70EE" w:rsidRPr="00B24E06" w:rsidRDefault="000C70EE" w:rsidP="00BD4D35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24E06">
              <w:rPr>
                <w:sz w:val="22"/>
                <w:szCs w:val="22"/>
              </w:rPr>
              <w:t>Найменування</w:t>
            </w:r>
            <w:proofErr w:type="spellEnd"/>
            <w:r w:rsidRPr="00B24E06">
              <w:rPr>
                <w:sz w:val="22"/>
                <w:szCs w:val="22"/>
              </w:rPr>
              <w:t xml:space="preserve">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507A" w14:textId="77777777" w:rsidR="000C70EE" w:rsidRPr="00B24E06" w:rsidRDefault="000C70EE" w:rsidP="00BD4D3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B24E06">
              <w:rPr>
                <w:sz w:val="22"/>
                <w:szCs w:val="22"/>
                <w:lang w:val="uk-UA"/>
              </w:rPr>
              <w:t>Код НК 024:2023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329B" w14:textId="77777777" w:rsidR="000C70EE" w:rsidRPr="00B24E06" w:rsidRDefault="000C70EE" w:rsidP="00BD4D3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B24E06">
              <w:rPr>
                <w:sz w:val="22"/>
                <w:szCs w:val="22"/>
                <w:lang w:val="uk-UA"/>
              </w:rPr>
              <w:t>Характеристика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5FCA" w14:textId="77777777" w:rsidR="000C70EE" w:rsidRPr="00E56FB8" w:rsidRDefault="000C70EE" w:rsidP="00BD4D35">
            <w:pPr>
              <w:pStyle w:val="a5"/>
              <w:jc w:val="center"/>
            </w:pPr>
            <w:r w:rsidRPr="00E56FB8">
              <w:rPr>
                <w:rFonts w:eastAsia="Calibri"/>
                <w:lang w:val="uk-UA"/>
              </w:rPr>
              <w:t>Од.</w:t>
            </w:r>
            <w:r w:rsidRPr="00E56FB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56FB8"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AF68" w14:textId="77777777" w:rsidR="000C70EE" w:rsidRPr="00E56FB8" w:rsidRDefault="000C70EE" w:rsidP="00BD4D35">
            <w:pPr>
              <w:pStyle w:val="a5"/>
              <w:jc w:val="center"/>
            </w:pPr>
            <w:r w:rsidRPr="00E56FB8">
              <w:rPr>
                <w:lang w:val="uk-UA"/>
              </w:rPr>
              <w:t xml:space="preserve">Дозування, форма випуску, вміст </w:t>
            </w:r>
            <w:proofErr w:type="spellStart"/>
            <w:r w:rsidRPr="00E56FB8">
              <w:rPr>
                <w:lang w:val="uk-UA"/>
              </w:rPr>
              <w:t>упаков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1F9E" w14:textId="77777777" w:rsidR="000C70EE" w:rsidRPr="00E56FB8" w:rsidRDefault="000C70EE" w:rsidP="00BD4D35">
            <w:pPr>
              <w:pStyle w:val="a5"/>
              <w:jc w:val="center"/>
            </w:pPr>
            <w:proofErr w:type="spellStart"/>
            <w:r w:rsidRPr="00E56FB8">
              <w:t>Кіль</w:t>
            </w:r>
            <w:proofErr w:type="spellEnd"/>
            <w:r w:rsidRPr="00E56FB8">
              <w:rPr>
                <w:lang w:val="uk-UA"/>
              </w:rPr>
              <w:t>-</w:t>
            </w:r>
            <w:proofErr w:type="spellStart"/>
            <w:r w:rsidRPr="00E56FB8">
              <w:t>кість</w:t>
            </w:r>
            <w:proofErr w:type="spellEnd"/>
          </w:p>
        </w:tc>
      </w:tr>
      <w:tr w:rsidR="000C70EE" w:rsidRPr="00CC3097" w14:paraId="41593358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D224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2F5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ІФА-набір “EQUI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HBsAg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” 192 </w:t>
            </w:r>
          </w:p>
          <w:p w14:paraId="2BF39FB7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тест-система 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якісного виявлення поверхневого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антигена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вірусу гепатиту В</w:t>
            </w:r>
          </w:p>
          <w:p w14:paraId="3C42F9BC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7B5C" w14:textId="77777777" w:rsidR="000C70EE" w:rsidRPr="00B24E06" w:rsidRDefault="000C70EE" w:rsidP="00BD4D3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48319: </w:t>
            </w: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</w:rPr>
              <w:t>Вірус гепатиту B поверхневий антиген IVD, набір,</w:t>
            </w:r>
          </w:p>
          <w:p w14:paraId="19505F00" w14:textId="77777777" w:rsidR="000C70EE" w:rsidRPr="00B24E06" w:rsidRDefault="000C70EE" w:rsidP="00BD4D3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</w:rPr>
              <w:t>імуноферментний</w:t>
            </w:r>
            <w:proofErr w:type="spellEnd"/>
          </w:p>
          <w:p w14:paraId="3B59501A" w14:textId="77777777" w:rsidR="000C70EE" w:rsidRPr="00B24E06" w:rsidRDefault="000C70EE" w:rsidP="00BD4D35">
            <w:pPr>
              <w:pStyle w:val="a5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24E06">
              <w:rPr>
                <w:rFonts w:eastAsia="Arial Unicode MS"/>
                <w:sz w:val="22"/>
                <w:szCs w:val="22"/>
              </w:rPr>
              <w:t>аналіз</w:t>
            </w:r>
            <w:proofErr w:type="spellEnd"/>
            <w:r w:rsidRPr="00B24E06">
              <w:rPr>
                <w:rFonts w:eastAsia="Arial Unicode MS"/>
                <w:sz w:val="22"/>
                <w:szCs w:val="22"/>
              </w:rPr>
              <w:t xml:space="preserve"> 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CBC3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Запропоновані ІФА-набори повинні виявляти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HBsAg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у сироватці або плазмі крові людини методом ІФА. Принцип аналізу ІФА-наборів повинен базуватися на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одноетапному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«сендвіч»-варіанті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аналізу (ІФА) з використанням пари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моноклональних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антитіл в складі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імуносорбенту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пероксидазного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кон’югату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52FDB46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У кожній лунці планшета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засорбовано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моноклональні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антитіла до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HBsAg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FBC168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Зберігання ІФА-планшета після першого за температури 2-8°C не більше 6 місяців.</w:t>
            </w:r>
          </w:p>
          <w:p w14:paraId="5037765E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Позитивний контроль - розчин поверхневого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антигена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вірусу гепатиту В у буфері з альбуміном та консервантом (рожевий), об’єм 1.9 мл.</w:t>
            </w:r>
          </w:p>
          <w:p w14:paraId="7AC4C7D7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Негативний контроль - негативна сироватка крові людини з консервантом (жовтий), об’єм 3,8 мл.</w:t>
            </w:r>
          </w:p>
          <w:p w14:paraId="6A337F2F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Кон’югат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(11х концентрат) -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кон’югат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моноклональних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антитіл до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HBsAg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пероксидазою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хрону у буферному розчині зі стабілізаторами та консервантом (фіолетовий), об’єм 1,5 мл.</w:t>
            </w:r>
          </w:p>
          <w:p w14:paraId="54A3267C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Розчин для розведення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кон’югату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- буферний розчин з білками сироватки крові великої рогатої худоби та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імуноглобулінами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миші з консервантом (рожевий), об’єм 15,0 мл.</w:t>
            </w:r>
          </w:p>
          <w:p w14:paraId="120838EB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Об’єми, що вносяться в лунку для аналізу: досліджувані сироватки та контролі – 100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; розчин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кон’югату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–50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07C48FD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ІФА-набори повинні мати чутливість та специфічність не менше 100%, </w:t>
            </w:r>
            <w:r w:rsidRPr="00B24E0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межа чутливості на виявлення </w:t>
            </w:r>
            <w:proofErr w:type="spellStart"/>
            <w:r w:rsidRPr="00B24E0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HBsAg</w:t>
            </w:r>
            <w:proofErr w:type="spellEnd"/>
            <w:r w:rsidRPr="00B24E0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має складати 0,05 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МО/мл, що підтверджено документально.</w:t>
            </w:r>
          </w:p>
          <w:p w14:paraId="1B0905E7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Можливість проводити інкубацію сироваток з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кон’югатом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в лунках ІФА-планшета в статичному та динамічному режимах.</w:t>
            </w:r>
          </w:p>
          <w:p w14:paraId="4434294A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Стрипова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комплектація планшета з можливістю відокремлення лунок та сумісні з універсальним обладнанням відкритого типу для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аналізу.</w:t>
            </w:r>
          </w:p>
          <w:p w14:paraId="2020C278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Стабільність ІФА-планшету після розкривання вакуумної упаковки повинна  бути 6 місяців, а усіх інших реагентів набору – протягом  загального терміну придатності.</w:t>
            </w:r>
          </w:p>
          <w:p w14:paraId="23D12D1E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ІФА-набори повинні містити у своєму складі готовий до використання розчин ТМБ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об`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ємом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менше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22 мл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стабільний протягом загального терміну придатності набору.</w:t>
            </w:r>
          </w:p>
          <w:p w14:paraId="2ABCA23B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 проведення аналізу – 2,5 год.</w:t>
            </w:r>
          </w:p>
          <w:p w14:paraId="21A86C1B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Система забезпечення якості виробництва для </w:t>
            </w: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ІФА-наборів повинна відповідати вимогам ISO 13485:2016 та бути </w:t>
            </w:r>
            <w:hyperlink r:id="rId5" w:history="1">
              <w:r w:rsidRPr="00B24E06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eastAsia="ar-SA"/>
                </w:rPr>
                <w:t>визнаною</w:t>
              </w:r>
            </w:hyperlink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Міжнародним форумом з акредитації (IAF), (надати завірену копію сертифікату на систему управління якістю), вся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продукція повинна відповідати вимогам Технічного регламенту (надати декларації про відповідність)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03E6" w14:textId="77777777" w:rsidR="000C70EE" w:rsidRPr="00156CE0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8252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теста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4F9D" w14:textId="77777777" w:rsidR="000C70EE" w:rsidRPr="00CA5D9E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0C70EE" w:rsidRPr="00CC3097" w14:paraId="483AE482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93BC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41D5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ІФА-набір EQUI 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“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Anti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HCV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”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192 </w:t>
            </w:r>
          </w:p>
          <w:p w14:paraId="7F453422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тест-система</w:t>
            </w:r>
          </w:p>
          <w:p w14:paraId="1CEDFF8E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якісного  виявлення сумарних антитіл до вірусу гепатиту С</w:t>
            </w:r>
          </w:p>
          <w:p w14:paraId="7171A028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19DD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48365: Вірус гепатиту C загальні антитіла IVD, набір,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імуноферментний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аналіз 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0C87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Запропоновані ІФА-набори повинні виявляти антитіла класів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IgG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до білків вірусу гепатиту С в сироватці або плазмі крові людини. Виявлення антитіл специфічних до вірусу гепатиту С в ІФА-наборах  повинен базуватися на принципі «непрямого»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твердофазного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аналізу.</w:t>
            </w:r>
          </w:p>
          <w:p w14:paraId="34705755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У кожній лунці планшета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засорбовані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рекомбінантні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антигени ВГС: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core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, NS3, NS4 та NS5.</w:t>
            </w:r>
          </w:p>
          <w:p w14:paraId="54D32BDF" w14:textId="77777777" w:rsidR="000C70EE" w:rsidRPr="00B24E06" w:rsidRDefault="000C70EE" w:rsidP="00BD4D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Зберігання ІФА-планшета після першого за температури 2-8°C не більше 6 місяців.</w:t>
            </w:r>
          </w:p>
          <w:p w14:paraId="4446FB9A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Позитивний контроль - Розчин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імуноглобулінів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людини, специфічних до ВГС, з консервантом (рожевий), об’єм 0,8 мл.</w:t>
            </w:r>
          </w:p>
          <w:p w14:paraId="722F2ADE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Негативний контроль - негативна сироватка крові людини з консервантом (жовтий), об’єм 1,9 мл.</w:t>
            </w:r>
          </w:p>
          <w:p w14:paraId="168C8462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Розчин для розведення сироваток - буферний розчин з екстрактом молока, детергентом та консервантом (коричневий), об’єм 21 мл.</w:t>
            </w:r>
          </w:p>
          <w:p w14:paraId="27BF4F49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Кон’югат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(готовий до використання) - Буферний розчин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моноклональних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антитіл до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IgG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людини,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кон’югованих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пероксидазою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хрону, зі стабілізаторами та консервантом (зелений), об’єм 22 мл.</w:t>
            </w:r>
          </w:p>
          <w:p w14:paraId="71517962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Об’єми, що вносяться в лунку для аналізу: досліджувані сироватки та контролі – 40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; розчин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кон’югату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–100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DAAAAF2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ІФА-набори повинні мати чутливість та специфічність не менше 100%, що підтверджено документально.</w:t>
            </w:r>
          </w:p>
          <w:p w14:paraId="776CF9FA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Стрипова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комплектація планшета з можливістю відокремлення лунок та сумісні з універсальним обладнанням відкритого типу для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аналізу.</w:t>
            </w:r>
          </w:p>
          <w:p w14:paraId="2ABED386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Стабільність ІФА-планшету після розкривання вакуумної упаковки повинна  бути 6 місяців, а усіх інших реагентів набору – протягом  загального терміну придатності.  </w:t>
            </w:r>
          </w:p>
          <w:p w14:paraId="75C57E23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ІФА-набори повинні містити у своєму складі готовий до використання розчин ТМБ об`ємом не менше 22 мл, стабільний протягом загального терміну придатності набору.</w:t>
            </w:r>
          </w:p>
          <w:p w14:paraId="34850957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Час проведення аналізу – 2 год.</w:t>
            </w:r>
          </w:p>
          <w:p w14:paraId="6EC4158F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Система забезпечення якості виробництва для ІФА-наборів повинна відповідати вимогам ISO 13485:2016 та бути визнаною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0FAC" w14:textId="77777777" w:rsidR="000C70EE" w:rsidRPr="00156CE0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3C15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теста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E28C" w14:textId="77777777" w:rsidR="000C70EE" w:rsidRPr="00CA5D9E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0C70EE" w:rsidRPr="00CC3097" w14:paraId="5A19E94C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2C4A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DD4A" w14:textId="77777777" w:rsidR="000C70EE" w:rsidRPr="00B24E06" w:rsidRDefault="000C70EE" w:rsidP="00BD4D3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de-DE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ІФА-набір EQUI «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HBcore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2ACE2186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ru-RU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тест-система для 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якісного виявлення антитіл класу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IgМ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корового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антигена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вірусу гепатиту В 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C9A7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48297</w:t>
            </w:r>
          </w:p>
          <w:p w14:paraId="3D8CD972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Вірус гепатиту B, антитіла</w:t>
            </w:r>
          </w:p>
          <w:p w14:paraId="5F7EB2B8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класу імуноглобулін М</w:t>
            </w:r>
          </w:p>
          <w:p w14:paraId="1A9B218D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IgМ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) до ядерного</w:t>
            </w:r>
          </w:p>
          <w:p w14:paraId="4C62D67E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антигену IVD (діагностика</w:t>
            </w:r>
          </w:p>
          <w:p w14:paraId="06CB896D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in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vitro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), набір,</w:t>
            </w:r>
          </w:p>
          <w:p w14:paraId="4963D26B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імуноферментний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аналіз</w:t>
            </w:r>
          </w:p>
          <w:p w14:paraId="158C3914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5E73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Тест-набір повинен бути застосований для проведення ІФА з використанням автоматичних піпеток та стандартного обладнання.</w:t>
            </w:r>
          </w:p>
          <w:p w14:paraId="3B1245BB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  <w:t>Склад набору:</w:t>
            </w:r>
          </w:p>
          <w:p w14:paraId="4709FC9C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1.ІФА-планшет – 12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стрипів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по 8 лунок</w:t>
            </w:r>
          </w:p>
          <w:p w14:paraId="652CD92B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2.Позитивний контроль – 1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мікропробірка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, що містить 0,3 мл розчину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імуноглобулінів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класу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IgM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людини зшитих з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моноклональними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антитілами, специфічними до пероксидази хрону.</w:t>
            </w:r>
          </w:p>
          <w:p w14:paraId="04942110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3.Негативний контроль  – 1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мікропробірка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, що містить 0,5 мл негативної сироватки крові людини .</w:t>
            </w:r>
          </w:p>
          <w:p w14:paraId="41C51F81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4.Розчин для промивання Tw20 (20Х)  – 1 флакон, що містить 50 мл 20-ти кратного концентрату фосфатного буферу з Твіном-20</w:t>
            </w:r>
          </w:p>
          <w:p w14:paraId="425676A6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5.Розчин для розведення сироваток РРС – 1 флакон, що містить 20 мл буферного розчину з детергентом та консервантом</w:t>
            </w:r>
          </w:p>
          <w:p w14:paraId="0A128F88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6.Розчин для розведення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кон’югату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РРК – 1 флакон, що містить 14 мл буферного розчину з детергентом та консервантом</w:t>
            </w:r>
          </w:p>
          <w:p w14:paraId="051903FD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7.Кон’югат (11х) – 1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мікропробірка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, що містить 1,4 мл 11-ти кратного концентрату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кон’югату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рекомбінантного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HBcore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lastRenderedPageBreak/>
              <w:t xml:space="preserve">антигену, з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пероксидазою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хрону у буферному розчині зі стабілізаторами</w:t>
            </w:r>
          </w:p>
          <w:p w14:paraId="2BBAC180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8. Розчин ТМБ – 1 флакон, що містить 12 мл розчину ТМБ і перекису водню з стабілізатором та консервантом </w:t>
            </w:r>
          </w:p>
          <w:p w14:paraId="369E1501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9. Стоп-реагент – 1 флакон, що містить 12 мл розчину 0,5М сірчаної кислоти.</w:t>
            </w:r>
          </w:p>
          <w:p w14:paraId="6998A878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10. Клейка плівка – 2 аркуша плівки для заклеювання планшетів під час інкубації.</w:t>
            </w:r>
          </w:p>
          <w:p w14:paraId="2083ED05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11. Бланк внесення проб – 1 аркуш для запису схеми внесення зразків.</w:t>
            </w:r>
          </w:p>
          <w:p w14:paraId="0028A21A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12. Інструкція з використання – 1 екземпляр інструкції з використання.</w:t>
            </w:r>
          </w:p>
          <w:p w14:paraId="31DF6549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Н</w:t>
            </w:r>
            <w:r w:rsidRPr="00B24E0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  <w:t>еобхідне обладнання:</w:t>
            </w:r>
          </w:p>
          <w:p w14:paraId="623D70F1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1.Автоматичний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промивач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планшетів (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вошер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) EL×50/8</w:t>
            </w:r>
          </w:p>
          <w:p w14:paraId="6A22CA74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2.Багатоканальний спектрофотометр (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рідер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) для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мікропланшетів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на 450/620 нм –LABSYSTEMS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Мультискан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MS Версія 8.0</w:t>
            </w:r>
          </w:p>
          <w:p w14:paraId="53BDBC79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Специфічність тест-системи – 99,5%</w:t>
            </w:r>
          </w:p>
          <w:p w14:paraId="30F46339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Чутливість –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3F73" w14:textId="77777777" w:rsidR="000C70EE" w:rsidRPr="00156CE0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EC07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ACCD" w14:textId="77777777" w:rsidR="000C70EE" w:rsidRPr="00CA5D9E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C70EE" w:rsidRPr="00CC3097" w14:paraId="0BC8EF03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E49F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83B3" w14:textId="77777777" w:rsidR="000C70EE" w:rsidRPr="00B24E06" w:rsidRDefault="000C70EE" w:rsidP="00BD4D3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de-DE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ІФА-набір «EQUI HCV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228B3F00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тест-система для 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якісного виявлення антитіл класу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вірусу гепатиту С</w:t>
            </w:r>
          </w:p>
          <w:p w14:paraId="52FC95BA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D949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48362</w:t>
            </w:r>
          </w:p>
          <w:p w14:paraId="5184A1C1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Вірус гепатиту C,</w:t>
            </w:r>
          </w:p>
          <w:p w14:paraId="683E59F4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імуноглобулін M (</w:t>
            </w:r>
            <w:proofErr w:type="spellStart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IgM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),</w:t>
            </w:r>
          </w:p>
          <w:p w14:paraId="3B0DD49C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антитіла IVD (діагностика</w:t>
            </w:r>
          </w:p>
          <w:p w14:paraId="1CA23EE3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in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vitro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), набір,</w:t>
            </w:r>
          </w:p>
          <w:p w14:paraId="1753589E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імуноферментний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аналіз</w:t>
            </w:r>
          </w:p>
          <w:p w14:paraId="737B6A2E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5D2C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Тест-набір повинен бути застосований для проведення ІФА з використанням автоматичних піпеток та стандартного обладнання.</w:t>
            </w:r>
          </w:p>
          <w:p w14:paraId="42F44191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  <w:t>Склад набору:</w:t>
            </w:r>
          </w:p>
          <w:p w14:paraId="2F8436B0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1.ІФА-планшет – 12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стрипів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по 8 лунок</w:t>
            </w:r>
          </w:p>
          <w:p w14:paraId="7E32BDB3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2.Позитивний контроль – 1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мікропробірка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, що містить 0,7 мл розчину специфічних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імуноглобулінів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з консервантами</w:t>
            </w:r>
          </w:p>
          <w:p w14:paraId="7BA46BF8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3.Негативний контроль  – 1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мікропробірка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, що містить 1,8 мл негативної сироватки крові людини з консервантом .</w:t>
            </w:r>
          </w:p>
          <w:p w14:paraId="6DCEF151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4.Розчин для розведення сироваток РРС – 1 флакон, що містить 12 мл буферного розчину з екстрактом молока, детергентом та консервантами</w:t>
            </w:r>
          </w:p>
          <w:p w14:paraId="370CA3BE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5.Розчин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кон’югату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РК – 1 флакон, що містить 12 мл буферного розчину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моноклональних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антитіл до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IgM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людини,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кон’югованих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пероксидазою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хрону, із стабілізаторами та консервантом</w:t>
            </w:r>
          </w:p>
          <w:p w14:paraId="7AF2787A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6. Розчин ТМБ – 1 флакон, що містить 12 мл розчину ТМБ і перекису водню з стабілізатором та консервантом </w:t>
            </w:r>
          </w:p>
          <w:p w14:paraId="4304D2F6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7. Розчин для промивання Tr100 (20х) – 1 флакон, що містить 50 мл 20-ти кратного концентрату фосфатного буферу з Тритоном Х100</w:t>
            </w:r>
          </w:p>
          <w:p w14:paraId="2B1DFDE9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9. Стоп-реагент – 1 флакон, що містить 12 мл розчину 0,5М сірчаної кислоти.</w:t>
            </w:r>
          </w:p>
          <w:p w14:paraId="38A2A59E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10. Клейка плівка – 2 аркуша плівки для заклеювання планшетів під час інкубації.</w:t>
            </w:r>
          </w:p>
          <w:p w14:paraId="52B86D4C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11. Бланк внесення проб – 1 аркуш для запису схеми внесення зразків.</w:t>
            </w:r>
          </w:p>
          <w:p w14:paraId="0845E0B8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12. Інструкція з використання – 1 екземпляр інструкції з використання.</w:t>
            </w:r>
          </w:p>
          <w:p w14:paraId="7BCA99BA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Н</w:t>
            </w:r>
            <w:r w:rsidRPr="00B24E0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  <w:t>еобхідне обладнання:</w:t>
            </w:r>
          </w:p>
          <w:p w14:paraId="26787F31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1.Автоматичний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промивач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планшетів (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вошер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) EL×50/8</w:t>
            </w:r>
          </w:p>
          <w:p w14:paraId="77B42FC6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2.Багатоканальний спектрофотометр (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рідер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) для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мікропланшетів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на 450/620 нм –LABSYSTEMS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Мультискан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MS Версія 8.0</w:t>
            </w:r>
          </w:p>
          <w:p w14:paraId="5699A8E1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Специфічність тест-системи – 100%</w:t>
            </w:r>
          </w:p>
          <w:p w14:paraId="5FF09395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Чутливість –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9EC9" w14:textId="77777777" w:rsidR="000C70EE" w:rsidRPr="00156CE0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4ED3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CB45" w14:textId="77777777" w:rsidR="000C70EE" w:rsidRPr="00CA5D9E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C70EE" w:rsidRPr="00CC3097" w14:paraId="5914B818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EA82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3B58" w14:textId="77777777" w:rsidR="000C70EE" w:rsidRPr="00B24E06" w:rsidRDefault="000C70EE" w:rsidP="00BD4D3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de-DE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ІФА-набір «EQUI HАV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012B68B4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C6AAC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Імуноферментна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тест-система для 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якісного  виявлення антитіл класу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IgМ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вірусу гепатиту А</w:t>
            </w:r>
          </w:p>
          <w:p w14:paraId="69754BE8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FF96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48281</w:t>
            </w:r>
          </w:p>
          <w:p w14:paraId="6C730471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Вірус гепатиту A,</w:t>
            </w:r>
          </w:p>
          <w:p w14:paraId="137E52EC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імуноглобулін M (</w:t>
            </w:r>
            <w:proofErr w:type="spellStart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IgM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),</w:t>
            </w:r>
          </w:p>
          <w:p w14:paraId="703FE28D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антитіла IVD (діагностика</w:t>
            </w:r>
          </w:p>
          <w:p w14:paraId="5DE32B9D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in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vitro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), набір,</w:t>
            </w:r>
          </w:p>
          <w:p w14:paraId="6F0D118E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імуноферментний</w:t>
            </w:r>
            <w:proofErr w:type="spellEnd"/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аналіз</w:t>
            </w:r>
          </w:p>
          <w:p w14:paraId="63676786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7219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lastRenderedPageBreak/>
              <w:t>Тест-набір повинен бути застосований для проведення ІФА з використанням автоматичних піпеток та стандартного обладнання.</w:t>
            </w:r>
          </w:p>
          <w:p w14:paraId="1954EA92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  <w:t>Склад набору:</w:t>
            </w:r>
          </w:p>
          <w:p w14:paraId="69B7B36F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1.ІФА-планшет (ELISA STRIPS) – 12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стрипів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по 8 лунок.</w:t>
            </w:r>
          </w:p>
          <w:p w14:paraId="476BA5B4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2.Позитивний контроль (CONTROL+)  – 1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мікропробірка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, що містить 0,3 мл розчину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імуноглобулінів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класу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IgM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людини зшитих </w:t>
            </w: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lastRenderedPageBreak/>
              <w:t xml:space="preserve">з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моноклональними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антитілами, специфічними до пероксидази хрону.</w:t>
            </w:r>
          </w:p>
          <w:p w14:paraId="07C0D850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3.Негативний контроль (CONTROL-)   – 1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мікропробірка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, що містить 0,5 мл негативної сироватки крові людини .</w:t>
            </w:r>
          </w:p>
          <w:p w14:paraId="0C373A73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4.Розчин для розведення сироваток (SAMPLE DILUENT)  – 1 флакон, що містить 12 мл буферного розчину з екстрактом молока та консервантом.</w:t>
            </w:r>
          </w:p>
          <w:p w14:paraId="3DCA08E5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5.Розчин для розведення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кон’югату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(CONJUGATE DILUENT) – 1 флакон, що містить 13 мл буферного розчину антигену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інактивованого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вірусу гепатиту А зі стабілізаторами та консервантом.</w:t>
            </w:r>
          </w:p>
          <w:p w14:paraId="0AC41F19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6.Кон’югат (11х) (CONJUGATE 11х)  – 1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мікропробірка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, що містить 1,3 мл 11-ти кратного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кон’югату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антитіл до вірусу гепатиту А з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пероксидазою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хрону у буфері зі стабілізаторами.</w:t>
            </w:r>
          </w:p>
          <w:p w14:paraId="20E9B6C2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7.Розчин для промивання TWEEN (20Х) (WASH TWEEN 20Х) – 1 флакон, що містить 50 мл 20-ти кратного концентрату фосфатного буферу з Tween-20.</w:t>
            </w:r>
          </w:p>
          <w:p w14:paraId="4114FE8D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8. Розчин ТМБ (TMB SOLUTION)  – 1 флакон, що містить 12 мл розчину ТМБ і перекису водню з стабілізатором та консервантом </w:t>
            </w:r>
          </w:p>
          <w:p w14:paraId="5D764B66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9. Стоп-реагент (STOP SOLUTION) – 1 флакон, що містить 12 мл розчину 0,5М сірчаної кислоти.</w:t>
            </w:r>
          </w:p>
          <w:p w14:paraId="1E3782A4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10.Adhesive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film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/Клейка плівка – 4 аркуша плівки для заклеювання планшетів під час інкубації.</w:t>
            </w:r>
          </w:p>
          <w:p w14:paraId="529B8759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11.Sera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identification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plan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/Бланк внесення проб – 2 аркуша для запису схеми внесення зразків.</w:t>
            </w:r>
          </w:p>
          <w:p w14:paraId="33A43CE5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12.Instruction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for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use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/Інструкція з використання – 1 екземпляр інструкції з використання.</w:t>
            </w:r>
          </w:p>
          <w:p w14:paraId="3EC0F5AF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Н</w:t>
            </w:r>
            <w:r w:rsidRPr="00B24E0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ru-RU"/>
              </w:rPr>
              <w:t>еобхідне обладнання:</w:t>
            </w:r>
          </w:p>
          <w:p w14:paraId="0B9E01E9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1.Автоматичний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промивач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планшетів (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вошер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) EL×50/8</w:t>
            </w:r>
          </w:p>
          <w:p w14:paraId="47BBF81F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2.Багатоканальний спектрофотометр (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рідер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) для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мікропланшетів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на 450/620 нм –LABSYSTEMS </w:t>
            </w:r>
            <w:proofErr w:type="spellStart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Мультискан</w:t>
            </w:r>
            <w:proofErr w:type="spellEnd"/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 xml:space="preserve"> MS Версія 8.0</w:t>
            </w:r>
          </w:p>
          <w:p w14:paraId="112AAB1C" w14:textId="77777777" w:rsidR="000C70EE" w:rsidRPr="00B24E06" w:rsidRDefault="000C70EE" w:rsidP="00BD4D35">
            <w:pPr>
              <w:keepNext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Специфічність тест-системи – 99,5%</w:t>
            </w:r>
          </w:p>
          <w:p w14:paraId="2CF30F97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="Arial Unicode MS" w:hAnsi="Times New Roman" w:cs="Times New Roman"/>
                <w:sz w:val="22"/>
                <w:szCs w:val="22"/>
                <w:lang w:eastAsia="ru-RU"/>
              </w:rPr>
              <w:t>Чутливість –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D319" w14:textId="77777777" w:rsidR="000C70EE" w:rsidRPr="00156CE0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2540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C073" w14:textId="77777777" w:rsidR="000C70EE" w:rsidRPr="00CA5D9E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</w:tr>
      <w:tr w:rsidR="000C70EE" w:rsidRPr="00CC3097" w14:paraId="078E5B26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5307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F301" w14:textId="77777777" w:rsidR="000C70EE" w:rsidRPr="00B24E06" w:rsidRDefault="000C70EE" w:rsidP="00BD4D35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DIA</w:t>
            </w:r>
            <w:r w:rsidRPr="00B24E06">
              <w:rPr>
                <w:rFonts w:ascii="Times New Roman" w:eastAsia="TimesNewRomanPS-BoldMT" w:hAnsi="Times New Roman" w:cs="Times New Roman"/>
                <w:bCs/>
                <w:color w:val="auto"/>
                <w:sz w:val="22"/>
                <w:szCs w:val="22"/>
                <w:lang w:bidi="ar-SA"/>
              </w:rPr>
              <w:t>®</w:t>
            </w: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-CMV-</w:t>
            </w:r>
            <w:proofErr w:type="spellStart"/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IgМ</w:t>
            </w:r>
            <w:proofErr w:type="spellEnd"/>
          </w:p>
          <w:p w14:paraId="403F67CC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Тест-система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імуноферментна</w:t>
            </w:r>
            <w:proofErr w:type="spellEnd"/>
          </w:p>
          <w:p w14:paraId="5B7DCF4E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для виявлення антитіл класу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IgМ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до цитомегаловірусу людини</w:t>
            </w:r>
          </w:p>
          <w:p w14:paraId="0486C725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7D2" w14:textId="77777777" w:rsidR="000C70EE" w:rsidRPr="00814CB7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49723 </w:t>
            </w:r>
            <w:proofErr w:type="spellStart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Cytomegalovirus</w:t>
            </w:r>
            <w:proofErr w:type="spellEnd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 (CMV), імуноглобулін M (</w:t>
            </w:r>
            <w:proofErr w:type="spellStart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IgM</w:t>
            </w:r>
            <w:proofErr w:type="spellEnd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), антитіла IVD</w:t>
            </w: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 (діагностика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in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vitro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), </w:t>
            </w:r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набір,</w:t>
            </w: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lastRenderedPageBreak/>
              <w:t>імунофермен</w:t>
            </w:r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тний</w:t>
            </w:r>
            <w:proofErr w:type="spellEnd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 аналіз 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1AA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lastRenderedPageBreak/>
              <w:t xml:space="preserve">Призначення: для якісного виявлення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IgМ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антитіл до цитомегаловірусу в сироватці та плазмі крові людини методом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імуноферментного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аналізу (ІФА).</w:t>
            </w:r>
          </w:p>
          <w:p w14:paraId="6F56C072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Тест-системи повинні бути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стрипової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комплектації з можливістю відокремлення кожної лунки. </w:t>
            </w:r>
          </w:p>
          <w:p w14:paraId="6E21BF83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Можливість проведення аналізу як з використанням стандартного обладнання для ІФА, так і за допомогою автоматичних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lastRenderedPageBreak/>
              <w:t>імуноферментних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аналізаторів відкритого типу, 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валідованого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протоколу постановки аналізу.</w:t>
            </w:r>
          </w:p>
          <w:p w14:paraId="1FBCE639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Принцип аналізу повинен базуватися на методі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твердофазного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непрямого ІФА з двоетапною процедурою.</w:t>
            </w:r>
          </w:p>
          <w:p w14:paraId="2CD8E642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Наявність не менше двох режимів проведення аналізу: 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термошейкера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та без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термошейкера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</w:t>
            </w:r>
          </w:p>
          <w:p w14:paraId="18064BBE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Під час внесення зразка повинен змінюватися колір розчину в лунці, що забезпечує контроль внесення досліджуваного зразка в лунку.</w:t>
            </w:r>
          </w:p>
          <w:p w14:paraId="449482BA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Розчин проявника повинний бути готовий до використання і містити готову суміш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тетраметилбензидину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з субстратом.</w:t>
            </w:r>
          </w:p>
          <w:p w14:paraId="1067F716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Об’єм досліджуваного зразка - не більше 10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</w:t>
            </w:r>
          </w:p>
          <w:p w14:paraId="7F7EAE7A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Тривалість проведення аналізу - не більше 2-х годин.</w:t>
            </w:r>
          </w:p>
          <w:p w14:paraId="39F873F5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Після первинного відкриття упаковки всі реагенти повинні бути стабільними впродовж терміну придатності тест-системи, за умови їх зберігання в щільно закритій первинній упаковці при температурі 2-8°С в захищеному від світла місці. Можливість зберігання реагентів тест-системи в ході проведення аналізу протягом 8 годин при температурі 18-25°С в захищеному від світла місці. Можливість транспортування тест-систем при температурі 9-25ºС протягом десяти діб.</w:t>
            </w:r>
          </w:p>
          <w:p w14:paraId="0B855EBD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Загальний термін придатності тест-системи - не менше 14 місяців.</w:t>
            </w:r>
          </w:p>
          <w:p w14:paraId="16903F3F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Чутливість та специфічність тест-систем - не менше 100%. Чутливість  та специфічність тест-систем повинна бути підтверджена документально.</w:t>
            </w:r>
          </w:p>
          <w:p w14:paraId="36D70B69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Склад набору повинен включати:</w:t>
            </w:r>
          </w:p>
          <w:p w14:paraId="72DD8578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1. Полістироловий 96-лунковий планшет в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вакуумованому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пакеті з ламінованого алюмінію з замком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Ziploc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в лунках якого сорбовані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рекомбінантні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антигени CMV. Готовий до використання.</w:t>
            </w:r>
          </w:p>
          <w:p w14:paraId="375653FD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2. Концентрат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кон’югату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(11x).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Моноклональні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антитіла до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IgМ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людини,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кон’юговані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з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пероксидазою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хрону, консервант: 0,25% фенол (червоний).</w:t>
            </w:r>
          </w:p>
          <w:p w14:paraId="05E0F372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3. Позитивний контроль.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Інактивована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сироватка крові людини, яка містить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IgМ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до CMV, консервант 0,25% фенол (світло-жовтий). Готовий до використання.</w:t>
            </w:r>
          </w:p>
          <w:p w14:paraId="21E80A6C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4. Негативний контроль.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Інактивована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сироватка крові людини, яка не містить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HВsAg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, антиген р24 ВІЛ-1, антитіла до CMV, ВІЛ-1/2, вірусу гепатиту С і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Т.pallidum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, консерванти: 0,2% ProClinТМ300 і 0,099% азид натрію (світло-жовтий). Готовий до використання.</w:t>
            </w:r>
          </w:p>
          <w:p w14:paraId="5DE498F0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lastRenderedPageBreak/>
              <w:t>5. Концентрат розчину для промивання (26х). Концентрат сольового буферу з детергентом (безбарвний, допускається розшарування та випадіння кристалічного осаду, що розчиняється при нагріванні).</w:t>
            </w:r>
          </w:p>
          <w:p w14:paraId="25CC28DF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6. Розчин для розведення сироваток. Білково-сольовий буфер що містить детергент, блок-компоненти і консервант 0,4% ProClinТМ300 (фіолетовий). Готовий до використання.</w:t>
            </w:r>
          </w:p>
          <w:p w14:paraId="2448CC41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7. Розчин для розведення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кон’югату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Білково-сольовий буфер, що містить детергент, блок-компоненти і консервант 0,4% ProClinТМ300 (червоний). Готовий до використання.</w:t>
            </w:r>
          </w:p>
          <w:p w14:paraId="17D099E8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8. ТМБ-субстрат. 3,3’,5,5’-тетраметилбензидин в розчині, що містить перекис водню (безбарвний). Готовий до використання.</w:t>
            </w:r>
          </w:p>
          <w:p w14:paraId="38AD06EA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9. Стоп-реагент. Розчин сірчаної кислоти (безбарвний). Готовий до використання.</w:t>
            </w:r>
          </w:p>
          <w:p w14:paraId="60EF0A3C" w14:textId="77777777" w:rsidR="000C70EE" w:rsidRPr="00B24E06" w:rsidRDefault="000C70EE" w:rsidP="00BD4D35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10. Клейка плівка.</w:t>
            </w:r>
          </w:p>
          <w:p w14:paraId="4D6887B9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11. Інструкція з використання.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9B93" w14:textId="77777777" w:rsidR="000C70EE" w:rsidRPr="00F3353B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53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к-</w:t>
            </w:r>
            <w:proofErr w:type="spellStart"/>
            <w:r w:rsidRPr="00F3353B">
              <w:rPr>
                <w:rFonts w:ascii="Times New Roman" w:eastAsia="Arial Unicode MS" w:hAnsi="Times New Roman" w:cs="Times New Roman"/>
                <w:sz w:val="22"/>
                <w:szCs w:val="22"/>
              </w:rPr>
              <w:t>кт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284D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D9E7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0C70EE" w:rsidRPr="00CC3097" w14:paraId="35487F98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6751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634" w14:textId="77777777" w:rsidR="000C70EE" w:rsidRPr="00B24E06" w:rsidRDefault="000C70EE" w:rsidP="00BD4D35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DIA</w:t>
            </w:r>
            <w:r w:rsidRPr="00B24E06">
              <w:rPr>
                <w:rFonts w:ascii="Times New Roman" w:eastAsia="TimesNewRomanPS-BoldMT" w:hAnsi="Times New Roman" w:cs="Times New Roman"/>
                <w:bCs/>
                <w:color w:val="auto"/>
                <w:sz w:val="22"/>
                <w:szCs w:val="22"/>
                <w:lang w:bidi="ar-SA"/>
              </w:rPr>
              <w:t>®</w:t>
            </w: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-CMV-</w:t>
            </w:r>
            <w:proofErr w:type="spellStart"/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IgG</w:t>
            </w:r>
            <w:proofErr w:type="spellEnd"/>
          </w:p>
          <w:p w14:paraId="7D0E7264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Тест-система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імуноферментна</w:t>
            </w:r>
            <w:proofErr w:type="spellEnd"/>
          </w:p>
          <w:p w14:paraId="2E476DCD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для якісного та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напівкількісного</w:t>
            </w:r>
            <w:proofErr w:type="spellEnd"/>
          </w:p>
          <w:p w14:paraId="054C148A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визначення антитіл класу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IgG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до цитомегаловірусу людини</w:t>
            </w:r>
          </w:p>
          <w:p w14:paraId="52BC950C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DFED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49712 Антитіла класу </w:t>
            </w:r>
            <w:proofErr w:type="spellStart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IgG</w:t>
            </w:r>
            <w:proofErr w:type="spellEnd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(імуноглобулін G) </w:t>
            </w:r>
            <w:proofErr w:type="spellStart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доцитомегаловірусу</w:t>
            </w:r>
            <w:proofErr w:type="spellEnd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 (CMV) IVD</w:t>
            </w:r>
          </w:p>
          <w:p w14:paraId="7AD15685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(діагностика </w:t>
            </w:r>
            <w:proofErr w:type="spellStart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in</w:t>
            </w:r>
            <w:proofErr w:type="spellEnd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vitro</w:t>
            </w:r>
            <w:proofErr w:type="spellEnd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), набір, </w:t>
            </w:r>
            <w:proofErr w:type="spellStart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імунофермен-тний</w:t>
            </w:r>
            <w:proofErr w:type="spellEnd"/>
            <w:r w:rsidRPr="00B24E0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 xml:space="preserve"> аналіз 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1AD6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Призначення: для якісного та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напівкількісного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виявлення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IgG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антитіл до цитомегаловірусу в сироватці та плазмі крові людини методом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імуноферментного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аналізу (ІФА).</w:t>
            </w:r>
          </w:p>
          <w:p w14:paraId="7B9F5A95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Тест-системи повинні бути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стрипової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комплектації з можливістю відокремлення кожної лунки. </w:t>
            </w:r>
          </w:p>
          <w:p w14:paraId="2B62F3FA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Можливість проведення аналізу як з використанням стандартного обладнання для ІФА, так і за допомогою автоматичних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імуноферментних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аналізаторів відкритого типу, 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валідованого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протоколу постановки аналізу.</w:t>
            </w:r>
          </w:p>
          <w:p w14:paraId="0E367C64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Принцип аналізу повинен базуватися на методі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твердофазного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непрямого ІФА з двоетапною процедурою.</w:t>
            </w:r>
          </w:p>
          <w:p w14:paraId="5B4EAF24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Наявність не менше двох режимів проведення аналізу: 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термошейкера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та без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термошейкера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</w:t>
            </w:r>
          </w:p>
          <w:p w14:paraId="74A1D55C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Під час внесення зразка повинен змінюватися колір розчину в лунці, що забезпечує контроль внесення досліджуваного зразка в лунку.</w:t>
            </w:r>
          </w:p>
          <w:p w14:paraId="7F833017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Розчин проявника повинний бути готовий до використання і містити готову суміш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тетраметилбензидину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з субстратом.</w:t>
            </w:r>
          </w:p>
          <w:p w14:paraId="66D8E45B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Об’єм досліджуваного зразка - не більше 10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</w:t>
            </w:r>
          </w:p>
          <w:p w14:paraId="29BD5698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Тривалість проведення аналізу - не більше 2-х годин.</w:t>
            </w:r>
          </w:p>
          <w:p w14:paraId="5FAFCF65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Після первинного відкриття упаковки всі реагенти повинні бути стабільними впродовж терміну придатності тест-системи, за умови їх зберігання в щільно закритій первинній упаковці при температурі 2-8°С в захищеному від світла місці. Можливість </w:t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lastRenderedPageBreak/>
              <w:t>зберігання реагентів тест-системи в ході проведення аналізу протягом 8 годин при температурі 18-25°С в захищеному від світла місці. Можливість транспортування тест-систем при температурі 9-25ºС протягом десяти діб.</w:t>
            </w:r>
          </w:p>
          <w:p w14:paraId="76B44F26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Загальний термін придатності тест-системи - не менше 14 місяців.</w:t>
            </w:r>
          </w:p>
          <w:p w14:paraId="7E4D4F80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Чутливість та специфічність тест-систем - не менше 100%. Чутливість  та специфічність тест-систем повинна бути підтверджена документально.</w:t>
            </w:r>
          </w:p>
          <w:p w14:paraId="76EFD483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Склад набору повинен включати:</w:t>
            </w:r>
          </w:p>
          <w:p w14:paraId="69B89EE6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1. Полістироловий 96-лунковий планшет в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вакуумованому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пакеті з ламінованого алюмінію з замком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Ziploc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в лунках якого сорбовані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рекомбінантні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антигени CMV. Готовий до використання.</w:t>
            </w:r>
          </w:p>
          <w:p w14:paraId="6AB4BA63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2. Концентрат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кон’югату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(11x).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Моноклональні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антитіла до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IgG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люди-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ни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кон’юговані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з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пероксидазою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хрону, консервант 0,25% фенол (червоний).</w:t>
            </w:r>
          </w:p>
          <w:p w14:paraId="325F6A31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3. Позитивний контроль.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Інактивована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сироватка крові людини, яка містить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IgG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до CMV, консервант 0,4% ProClinТМ300 (світло-жовтий). Готовий до використання.</w:t>
            </w:r>
          </w:p>
          <w:p w14:paraId="1179A7CE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4. Негативний контроль.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Інактивована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сироватка крові людини, яка не містить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HВsAg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, антиген р24 ВІЛ-1, антитіла до CMV, ВІЛ-1/2, вірусу гепатиту С і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Т.pallidum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, консерванти: 0,2% ProClinТМ300 і 0,099% азид натрію (світло-жовтий). Готовий до використання.</w:t>
            </w:r>
          </w:p>
          <w:p w14:paraId="032740B0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5. Концентрат розчину для промивання (26х). Концентрат сольового буферу з детергентом (безбарвний, допускається розшарування та випадіння кристалічного осаду, що розчиняється при нагріванні).</w:t>
            </w:r>
          </w:p>
          <w:p w14:paraId="13E951EB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6. Розчин для розведення сироваток. Білково-сольовий буфер що містить детергент, блок-компоненти і консервант 0,4% ProClinТМ300 (фіолетовий). Готовий до використання.</w:t>
            </w:r>
          </w:p>
          <w:p w14:paraId="78F85DC4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7. Розчин для розведення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кон’югату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Білково-сольовий буфер, що містить детергент, блок-компоненти і консервант 0,4% ProClinТМ300 (червоний). Готовий до використання.</w:t>
            </w:r>
          </w:p>
          <w:p w14:paraId="6B321E4A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8. ТМБ-субстрат. 3,3’,5,5’-тетраметилбензидин в розчині, що містить перекис водню (безбарвний). Готовий до використання.</w:t>
            </w:r>
          </w:p>
          <w:p w14:paraId="7CC0E0E9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9. Стоп-реагент. Розчин сірчаної кислоти (безбарвний). Готовий до використання.</w:t>
            </w:r>
          </w:p>
          <w:p w14:paraId="0E81375E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10. Клейка плівка.</w:t>
            </w:r>
          </w:p>
          <w:p w14:paraId="0E35DA35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11. Інструкція з використання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DA8D" w14:textId="77777777" w:rsidR="000C70EE" w:rsidRPr="00F3353B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53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к-</w:t>
            </w:r>
            <w:proofErr w:type="spellStart"/>
            <w:r w:rsidRPr="00F3353B">
              <w:rPr>
                <w:rFonts w:ascii="Times New Roman" w:eastAsia="Arial Unicode MS" w:hAnsi="Times New Roman" w:cs="Times New Roman"/>
                <w:sz w:val="22"/>
                <w:szCs w:val="22"/>
              </w:rPr>
              <w:t>кт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2F03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4D1F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0C70EE" w:rsidRPr="00CC3097" w14:paraId="34ADEBD0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C22F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685A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ІФА-набір «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EQUI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Epstein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Barr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virus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VCA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IgM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» для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якісного виявлення антитіл класу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до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капсидного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антигена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вірусу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Епштейна-Барр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(VCA)</w:t>
            </w:r>
          </w:p>
          <w:p w14:paraId="7DA93862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F2D3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49662 </w:t>
            </w: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Вірус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Epstein-Barr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(EBV) VCА, </w:t>
            </w: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імуноглобулін M (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IgM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),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антитілаIVD</w:t>
            </w:r>
            <w:proofErr w:type="spellEnd"/>
          </w:p>
          <w:p w14:paraId="6D445FCB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(діагностика </w:t>
            </w:r>
            <w:proofErr w:type="spellStart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in</w:t>
            </w:r>
            <w:proofErr w:type="spellEnd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vitro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),</w:t>
            </w:r>
          </w:p>
          <w:p w14:paraId="731BD219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набір,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імунофермен-тний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аналіз 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03E5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14:paraId="049A1095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-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стрипова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комплектація набору з можливістю відокремлення лунок;</w:t>
            </w:r>
          </w:p>
          <w:p w14:paraId="257AD3EF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-кольорова індикація етапів аналізу.</w:t>
            </w:r>
          </w:p>
          <w:p w14:paraId="74214D51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14:paraId="3C9FFFEE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-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стрипова</w:t>
            </w:r>
            <w:proofErr w:type="spellEnd"/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 комплектація набору з можливістю відокремлення лунок;</w:t>
            </w:r>
          </w:p>
          <w:p w14:paraId="612A2FB1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- кольорова індикація етапів аналізу.</w:t>
            </w:r>
          </w:p>
          <w:p w14:paraId="2A747829" w14:textId="77777777" w:rsidR="000C70EE" w:rsidRPr="00B24E06" w:rsidRDefault="000C70EE" w:rsidP="00BD4D3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-набори повинні  містити у своєму складі готовий до використання розчин ТМБ (об‘ємом 13 мл для наборів на 96 визначень) стабільний протягом загального терміну придатності набору.</w:t>
            </w:r>
          </w:p>
          <w:p w14:paraId="51329516" w14:textId="77777777" w:rsidR="000C70EE" w:rsidRPr="00B24E06" w:rsidRDefault="000C70EE" w:rsidP="00BD4D3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аналізу.</w:t>
            </w:r>
          </w:p>
          <w:p w14:paraId="1C8E3ED1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- Принцип аналізу запропонованих тест-систем 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- «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IgМ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-захват»,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твердофазний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ІФА у двоетапній інкубації</w:t>
            </w: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180C98E4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час проведення аналізу не більше 1 години 30 хвилин.</w:t>
            </w:r>
          </w:p>
          <w:p w14:paraId="365228D0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-У лунках планшета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засорбовано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моноклональні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антитіла, специфічні до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імуноглобулінів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класу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людини.</w:t>
            </w:r>
          </w:p>
          <w:p w14:paraId="08F48011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- Об’єм досліджуваного зразка– 10 </w:t>
            </w:r>
            <w:proofErr w:type="spellStart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14:paraId="26E1D11D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-Обов`язкове р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озведення зразків та контролів перед внесенням у лунку;</w:t>
            </w:r>
          </w:p>
          <w:p w14:paraId="401FFD35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Система забезпечення якості виробництва для ІФА-наборів повинна відповідати вимогам ISO 13485:2016 та бути визнаною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B285" w14:textId="77777777" w:rsidR="000C70EE" w:rsidRPr="00CA5D9E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711B" w14:textId="77777777" w:rsidR="000C70EE" w:rsidRPr="003F2292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FC04" w14:textId="77777777" w:rsidR="000C70EE" w:rsidRPr="003F2292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sz w:val="22"/>
                <w:szCs w:val="22"/>
                <w:lang w:val="en-US" w:eastAsia="ru-RU"/>
              </w:rPr>
              <w:t>1</w:t>
            </w:r>
          </w:p>
        </w:tc>
      </w:tr>
      <w:tr w:rsidR="000C70EE" w:rsidRPr="00CC3097" w14:paraId="1D073A0C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538C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D231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ІФА-набір "EQUI 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Epstein-Barr</w:t>
            </w:r>
            <w:proofErr w:type="spellEnd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virus</w:t>
            </w:r>
            <w:proofErr w:type="spellEnd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(VCA) 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lgG</w:t>
            </w:r>
            <w:proofErr w:type="spellEnd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якісного виявлення антитіл класу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IgM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капсидного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антигена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вірусу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Епштейна-Барр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(VCA)</w:t>
            </w:r>
          </w:p>
          <w:p w14:paraId="62555B58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2BFC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49657 </w:t>
            </w: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Вірус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Epstein-Barr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(EBV) VCA, імуноглобулін G</w:t>
            </w:r>
          </w:p>
          <w:p w14:paraId="720A6DC3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IgG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), антитіла IVD</w:t>
            </w:r>
          </w:p>
          <w:p w14:paraId="1521BE90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(діагностика </w:t>
            </w:r>
            <w:proofErr w:type="spellStart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in</w:t>
            </w:r>
            <w:proofErr w:type="spellEnd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vitro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),</w:t>
            </w:r>
          </w:p>
          <w:p w14:paraId="4A98635E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набір,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імунофермен-тний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аналіз 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EACF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14:paraId="63C4E2FC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-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стрипова</w:t>
            </w:r>
            <w:proofErr w:type="spellEnd"/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 комплектація набору з можливістю відокремлення лунок;</w:t>
            </w:r>
          </w:p>
          <w:p w14:paraId="1344CAF2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- кольорова індикація етапів аналізу.</w:t>
            </w:r>
          </w:p>
          <w:p w14:paraId="512A60E2" w14:textId="77777777" w:rsidR="000C70EE" w:rsidRPr="00B24E06" w:rsidRDefault="000C70EE" w:rsidP="00BD4D3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 набори повинні  містити у своєму складі готовий до використання розчин ТМБ (об‘ємом 13 мл для наборів на 96 визначень) стабільний протягом загального терміну придатності набору.</w:t>
            </w:r>
          </w:p>
          <w:p w14:paraId="61D39611" w14:textId="77777777" w:rsidR="000C70EE" w:rsidRPr="00B24E06" w:rsidRDefault="000C70EE" w:rsidP="00BD4D3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аналізу.</w:t>
            </w:r>
          </w:p>
          <w:p w14:paraId="0D30ED76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lastRenderedPageBreak/>
              <w:t>- Принцип аналізу запропонованих тест-систем -</w:t>
            </w: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«непрямий» 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твердофазний</w:t>
            </w:r>
            <w:proofErr w:type="spellEnd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ІФА у двоетапній інкубації;</w:t>
            </w: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 - час проведення аналізу не більше 1 години 30 хвилин.</w:t>
            </w:r>
          </w:p>
          <w:p w14:paraId="29126ED5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-У лунках планшета 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засорбовано</w:t>
            </w:r>
            <w:proofErr w:type="spellEnd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рекомбінантний</w:t>
            </w:r>
            <w:proofErr w:type="spellEnd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капсидний</w:t>
            </w:r>
            <w:proofErr w:type="spellEnd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антиген вірусу 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Епштейна-Барр</w:t>
            </w:r>
            <w:proofErr w:type="spellEnd"/>
          </w:p>
          <w:p w14:paraId="4332A63D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- Об’єм досліджуваного зразка, що вноситься в лунку – 10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.</w:t>
            </w:r>
          </w:p>
          <w:p w14:paraId="0920493B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-</w:t>
            </w: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Система забезпечення якості виробництва для ІФА-наборів повинна відповідати вимогам ISO 13485:2016 та бути </w:t>
            </w:r>
            <w:hyperlink r:id="rId6" w:history="1">
              <w:r w:rsidRPr="00B24E06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eastAsia="ar-SA"/>
                </w:rPr>
                <w:t>визнаною</w:t>
              </w:r>
            </w:hyperlink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1275" w14:textId="77777777" w:rsidR="000C70EE" w:rsidRPr="00F3353B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53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EAEC" w14:textId="77777777" w:rsidR="000C70EE" w:rsidRPr="003F2292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2018" w14:textId="77777777" w:rsidR="000C70EE" w:rsidRPr="003F2292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  <w:t>1</w:t>
            </w:r>
          </w:p>
        </w:tc>
      </w:tr>
      <w:tr w:rsidR="000C70EE" w:rsidRPr="00CC3097" w14:paraId="5518EBE2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A578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AE87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ІФА-набір "EQUI EB</w:t>
            </w: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NA</w:t>
            </w: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proofErr w:type="spellStart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gG</w:t>
            </w:r>
            <w:proofErr w:type="spellEnd"/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якісного виявлення антитіл класу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Ig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G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 ядерного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антигена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вірусу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Епштейна-Барр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(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NA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  <w:p w14:paraId="37C66B40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59FB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49677 </w:t>
            </w: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Вірус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Epstein-Barr,ядерний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антиген (EBNA),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імуноглобу-лін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G (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IgG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), антитіла IVD (діагностика </w:t>
            </w:r>
            <w:proofErr w:type="spellStart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in</w:t>
            </w:r>
            <w:proofErr w:type="spellEnd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vitro</w:t>
            </w:r>
            <w:proofErr w:type="spellEnd"/>
            <w:r w:rsidRPr="00B24E0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), набір,</w:t>
            </w:r>
          </w:p>
          <w:p w14:paraId="6541C2F4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імуноферментний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аналіз 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0380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>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14:paraId="21501ED1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>-</w:t>
            </w:r>
            <w:proofErr w:type="spellStart"/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>стрипова</w:t>
            </w:r>
            <w:proofErr w:type="spellEnd"/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 комплектація набору з можливістю відокремлення лунок;</w:t>
            </w:r>
          </w:p>
          <w:p w14:paraId="19BAFF2F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uk-UA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>-кольорова індикація етапів аналізу.</w:t>
            </w:r>
          </w:p>
          <w:p w14:paraId="35DC7DF3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uk-UA"/>
              </w:rPr>
            </w:pP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-набори повинні  містити у своєму складі готовий до використання розчин ТМБ (об‘ємом 13 мл для наборів на 96 визначень) стабільний протягом загального терміну придатності набору</w:t>
            </w:r>
          </w:p>
          <w:p w14:paraId="66D89EE1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>- Принцип аналізу запропонованих тест-систем -</w:t>
            </w:r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«непрямий»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твердофазний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ІФА у двоетапній інкубації;</w:t>
            </w: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 - час проведення аналізу не більше 1 години 30 хвилин.</w:t>
            </w:r>
          </w:p>
          <w:p w14:paraId="1F540225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-У лунках планшета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засорбовано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рекомбінантний</w:t>
            </w:r>
            <w:proofErr w:type="spellEnd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ядерний антиген вірусу </w:t>
            </w:r>
            <w:proofErr w:type="spellStart"/>
            <w:r w:rsidRPr="00B24E0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Епштейна-Барр</w:t>
            </w:r>
            <w:proofErr w:type="spellEnd"/>
          </w:p>
          <w:p w14:paraId="74E30833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 xml:space="preserve">- Об’єм досліджуваного зразка, що вноситься в лунку – 10 </w:t>
            </w:r>
            <w:proofErr w:type="spellStart"/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>мкл</w:t>
            </w:r>
            <w:proofErr w:type="spellEnd"/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>.</w:t>
            </w:r>
          </w:p>
          <w:p w14:paraId="44BE86A9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uk-UA"/>
              </w:rPr>
              <w:t>-</w:t>
            </w: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Система забезпечення якості виробництва для ІФА-наборів повинна відповідати вимогам ISO 13485:2016 та бути </w:t>
            </w:r>
            <w:hyperlink r:id="rId7" w:history="1">
              <w:r w:rsidRPr="00B24E06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eastAsia="ar-SA"/>
                </w:rPr>
                <w:t>визнаною</w:t>
              </w:r>
            </w:hyperlink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DE3B" w14:textId="77777777" w:rsidR="000C70EE" w:rsidRPr="00F3353B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53B">
              <w:rPr>
                <w:rFonts w:ascii="Times New Roman" w:eastAsia="Arial Unicode MS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594C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869D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  <w:t>1</w:t>
            </w:r>
          </w:p>
        </w:tc>
      </w:tr>
      <w:tr w:rsidR="000C70EE" w:rsidRPr="00CC3097" w14:paraId="4A8DA278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1571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FCE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>Імуноферментна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тест-система для кількісного визначення антитіл класу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>IgG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 збудника токсоплазмозу людини (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>Toxoplasma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>gondii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>) DIA-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>Toxo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</w:rPr>
              <w:t>IgG</w:t>
            </w:r>
            <w:proofErr w:type="spellEnd"/>
          </w:p>
          <w:p w14:paraId="51B33748" w14:textId="77777777" w:rsidR="000C70EE" w:rsidRPr="00B24E06" w:rsidRDefault="000C70EE" w:rsidP="00BD4D35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B253" w14:textId="77777777" w:rsidR="000C70EE" w:rsidRPr="00322F8C" w:rsidRDefault="000C70EE" w:rsidP="00BD4D3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F8C">
              <w:rPr>
                <w:rFonts w:ascii="Times New Roman" w:hAnsi="Times New Roman" w:cs="Times New Roman"/>
                <w:sz w:val="22"/>
                <w:szCs w:val="22"/>
              </w:rPr>
              <w:t>52436: Токсоплазма антитіла класу імуноглобулін G (</w:t>
            </w:r>
            <w:proofErr w:type="spellStart"/>
            <w:r w:rsidRPr="00322F8C">
              <w:rPr>
                <w:rFonts w:ascii="Times New Roman" w:hAnsi="Times New Roman" w:cs="Times New Roman"/>
                <w:sz w:val="22"/>
                <w:szCs w:val="22"/>
              </w:rPr>
              <w:t>IgG</w:t>
            </w:r>
            <w:proofErr w:type="spellEnd"/>
            <w:r w:rsidRPr="00322F8C">
              <w:rPr>
                <w:rFonts w:ascii="Times New Roman" w:hAnsi="Times New Roman" w:cs="Times New Roman"/>
                <w:sz w:val="22"/>
                <w:szCs w:val="22"/>
              </w:rPr>
              <w:t>) IVD, набір,</w:t>
            </w:r>
          </w:p>
          <w:p w14:paraId="76320CF1" w14:textId="77777777" w:rsidR="000C70EE" w:rsidRPr="00322F8C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2F8C">
              <w:rPr>
                <w:rFonts w:ascii="Times New Roman" w:hAnsi="Times New Roman" w:cs="Times New Roman"/>
                <w:sz w:val="22"/>
                <w:szCs w:val="22"/>
              </w:rPr>
              <w:t>імуноферментний</w:t>
            </w:r>
            <w:proofErr w:type="spellEnd"/>
            <w:r w:rsidRPr="00322F8C">
              <w:rPr>
                <w:rFonts w:ascii="Times New Roman" w:hAnsi="Times New Roman" w:cs="Times New Roman"/>
                <w:sz w:val="22"/>
                <w:szCs w:val="22"/>
              </w:rPr>
              <w:t xml:space="preserve"> аналіз (ІФА)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5DE0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Пр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изначення: для </w:t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кількісного виявлення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IgG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антитіл до 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токсоплазми</w:t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в сироватці та плазмі крові людини методом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імуноферментного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аналізу (ІФА).</w:t>
            </w:r>
          </w:p>
          <w:p w14:paraId="764962F7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Тест-системи повинні бути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стрипової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комплектації з можливістю відокремлення кожної лунки. </w:t>
            </w:r>
          </w:p>
          <w:p w14:paraId="7866A306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Можливість проведення аналізу як з використанням стандартного обладнання для ІФА, так і за допомогою автоматичних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lastRenderedPageBreak/>
              <w:t>імуноферментних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аналізаторів відкритого типу, 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валідованого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протоколу постановки аналізу.</w:t>
            </w:r>
          </w:p>
          <w:p w14:paraId="148922C8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Принцип аналізу повинен базуватися на методі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твердофазного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непрямого ІФА з двоетапною процедурою.</w:t>
            </w:r>
          </w:p>
          <w:p w14:paraId="6C080109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Наявність не менше двох режимів проведення аналізу: 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термошейкера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та без використанням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термошейкера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</w:t>
            </w:r>
          </w:p>
          <w:p w14:paraId="0A1CA0D2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Під час внесення зразка повинен змінюватися колір розчину в лунці, що забезпечує контроль внесення досліджуваного зразка в лунку.</w:t>
            </w:r>
          </w:p>
          <w:p w14:paraId="07525728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Розчин проявника повинний бути готовий до використання і містити готову суміш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тетраметилбензидину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з субстратом.</w:t>
            </w:r>
          </w:p>
          <w:p w14:paraId="7CE65C37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Об’єм досліджуваного зразка - не більше 10 </w:t>
            </w:r>
            <w:proofErr w:type="spellStart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</w:t>
            </w:r>
          </w:p>
          <w:p w14:paraId="2C6C9D26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Тривалість проведення аналізу - не більше 2-х годин.</w:t>
            </w:r>
          </w:p>
          <w:p w14:paraId="5DD57552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Після первинного відкриття упаковки всі реагенти повинні бути стабільними впродовж терміну придатності тест-системи, за умови їх зберігання в щільно закритій первинній упаковці при температурі 2-8°С в захищеному від світла місці. Можливість зберігання реагентів тест-системи в ході проведення аналізу протягом 8 годин при температурі 18-25°С в захищеному від світла місці. Можливість транспортування тест-систем при температурі 9-25ºС протягом десяти діб.</w:t>
            </w:r>
          </w:p>
          <w:p w14:paraId="6102C5AB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Загальний термін придатності тест-системи - не менше 14 місяців.</w:t>
            </w:r>
          </w:p>
          <w:p w14:paraId="42662D21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Чутливість та специфічність тест-систем - не менше 100%. Чутливість  та специфічність тест-систем повинна бути підтверджена документально.</w:t>
            </w:r>
            <w:r w:rsidRPr="007E3D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Склад набору повинен включати:</w:t>
            </w:r>
          </w:p>
          <w:p w14:paraId="64DE1611" w14:textId="77777777" w:rsidR="000C70EE" w:rsidRPr="00F770AB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1. </w:t>
            </w:r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Полістироловий 96-лунковий планшет в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вакуумованому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пакеті з ламінованого алюмінію з замком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Ziploc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в лунках якого сорбовані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рекомбінантні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антигени </w:t>
            </w:r>
            <w:proofErr w:type="spellStart"/>
            <w:r w:rsidRPr="00F770AB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T.gondii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Готовий до використання.</w:t>
            </w:r>
          </w:p>
          <w:p w14:paraId="3701642A" w14:textId="77777777" w:rsidR="000C70EE" w:rsidRPr="00CF2B9C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2. Концентрат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кон’югату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(11x).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Моноклональні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антитіла до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IgG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людини,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кон’юговані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з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пероксидазою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хрону, консервант 0,25% фенол (</w:t>
            </w:r>
            <w:r w:rsidRPr="00CF2B9C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червоний).</w:t>
            </w:r>
          </w:p>
          <w:p w14:paraId="4B6C7EDE" w14:textId="77777777" w:rsidR="000C70EE" w:rsidRPr="00CF2B9C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F2B9C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3. </w:t>
            </w:r>
            <w:r w:rsidRPr="00CF2B9C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Позитивний контроль I (20 МО/мл) </w:t>
            </w:r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Очищені </w:t>
            </w:r>
            <w:proofErr w:type="spellStart"/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IgG</w:t>
            </w:r>
            <w:proofErr w:type="spellEnd"/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людини, специфічні до</w:t>
            </w:r>
            <w:r w:rsidRPr="00CF2B9C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F2B9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T. </w:t>
            </w:r>
            <w:proofErr w:type="spellStart"/>
            <w:r w:rsidRPr="00CF2B9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gondii</w:t>
            </w:r>
            <w:proofErr w:type="spellEnd"/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, консервант 0,4%</w:t>
            </w:r>
            <w:r w:rsidRPr="00CF2B9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ProClin</w:t>
            </w:r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ТМ</w:t>
            </w:r>
            <w:r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300 (</w:t>
            </w:r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світло</w:t>
            </w:r>
            <w:r w:rsidRPr="00CF2B9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жовтий</w:t>
            </w:r>
            <w:r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r w:rsidRPr="00CF2B9C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Готовий до використання.</w:t>
            </w:r>
          </w:p>
          <w:p w14:paraId="1C4BDBCC" w14:textId="77777777" w:rsidR="000C70EE" w:rsidRPr="00CF2B9C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CF2B9C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. </w:t>
            </w:r>
            <w:r w:rsidRPr="00CF2B9C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Позитивний контроль II (100 МО/мл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). </w:t>
            </w:r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Очищені </w:t>
            </w:r>
            <w:proofErr w:type="spellStart"/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IgG</w:t>
            </w:r>
            <w:proofErr w:type="spellEnd"/>
            <w:r w:rsidRPr="00CF2B9C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лю</w:t>
            </w:r>
            <w:r w:rsidRPr="00F770AB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дини, специфічні до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770A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T. </w:t>
            </w:r>
            <w:proofErr w:type="spellStart"/>
            <w:r w:rsidRPr="00F770A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gondii</w:t>
            </w:r>
            <w:proofErr w:type="spellEnd"/>
            <w:r w:rsidRPr="00F770AB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, консервант 0,4%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770A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ProClin</w:t>
            </w:r>
            <w:r w:rsidRPr="00F770AB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ТМ</w:t>
            </w:r>
            <w:r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300 (</w:t>
            </w:r>
            <w:r w:rsidRPr="00F770AB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світло</w:t>
            </w:r>
            <w:r w:rsidRPr="00F770A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  <w:r w:rsidRPr="00F770AB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жовтий</w:t>
            </w:r>
            <w:r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). </w:t>
            </w:r>
            <w:r w:rsidRPr="00F770AB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Готовий до використання</w:t>
            </w:r>
          </w:p>
          <w:p w14:paraId="253BF016" w14:textId="77777777" w:rsidR="000C70EE" w:rsidRPr="00F770AB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5</w:t>
            </w:r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. Негативний контроль.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Інактивована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 сироватка крові людини, яка не містить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HВsAg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, антиген р24 ВІЛ-1, антитіла до </w:t>
            </w:r>
            <w:proofErr w:type="spellStart"/>
            <w:r w:rsidRPr="00F770AB"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eastAsia="en-US" w:bidi="ar-SA"/>
              </w:rPr>
              <w:t>T.gondii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, ВІЛ-1/2, </w:t>
            </w:r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lastRenderedPageBreak/>
              <w:t xml:space="preserve">вірусу гепатиту С і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Т.pallidum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, консерванти: 0,2% ProClinТМ300 і 0,099% азид натрію (світло-жовтий). Готовий до використання.</w:t>
            </w:r>
          </w:p>
          <w:p w14:paraId="077640B5" w14:textId="77777777" w:rsidR="000C70EE" w:rsidRPr="00F770AB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6</w:t>
            </w:r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Концентрат розчину для промивання (26х). Концентрат сольового буферу з детергентом (безбарвний, допускається розшарування та випадіння кристалічного осаду, що розчиняється при нагріванні).</w:t>
            </w:r>
          </w:p>
          <w:p w14:paraId="5E9D0285" w14:textId="77777777" w:rsidR="000C70EE" w:rsidRPr="00F770AB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7</w:t>
            </w:r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Розчин для розведення сироваток. Білково-сольовий буфер що містить детергент, блок-компоненти і консервант 0,4% ProClinТМ300 (фіолетовий). Готовий до використання.</w:t>
            </w:r>
          </w:p>
          <w:p w14:paraId="48768CF2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8</w:t>
            </w:r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. Розчин для розведення </w:t>
            </w:r>
            <w:proofErr w:type="spellStart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кон’югату</w:t>
            </w:r>
            <w:proofErr w:type="spellEnd"/>
            <w:r w:rsidRPr="00F770AB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 xml:space="preserve">. Білково-сольовий </w:t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буфер, що містить детергент, блок-компоненти і консервант 0,4% ProClinТМ300 (червоний). Готовий до використання.</w:t>
            </w:r>
          </w:p>
          <w:p w14:paraId="0709F795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9</w:t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ТМБ-субстрат. 3,3’,5,5’-тетраметилбензидин в розчині, що містить перекис водню (безбарвний). Готовий до використання.</w:t>
            </w:r>
          </w:p>
          <w:p w14:paraId="246BD68A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10</w:t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Стоп-реагент. Розчин сірчаної кислоти (безбарвний). Готовий до використання.</w:t>
            </w:r>
          </w:p>
          <w:p w14:paraId="58122394" w14:textId="77777777" w:rsidR="000C70EE" w:rsidRPr="00B24E06" w:rsidRDefault="000C70EE" w:rsidP="00BD4D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11</w:t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Клейка плівка.</w:t>
            </w:r>
          </w:p>
          <w:p w14:paraId="4AEBCE7D" w14:textId="77777777" w:rsidR="000C70EE" w:rsidRPr="00F770AB" w:rsidRDefault="000C70EE" w:rsidP="00BD4D35">
            <w:pPr>
              <w:spacing w:line="20" w:lineRule="atLeast"/>
              <w:ind w:right="72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12</w:t>
            </w:r>
            <w:r w:rsidRPr="00B24E06">
              <w:rPr>
                <w:rFonts w:ascii="Times New Roman" w:hAnsi="Times New Roman" w:cs="Times New Roman"/>
                <w:color w:val="222222"/>
                <w:sz w:val="22"/>
                <w:szCs w:val="22"/>
                <w:lang w:bidi="ar-SA"/>
              </w:rPr>
              <w:t>. Інструкція з використання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7690" w14:textId="77777777" w:rsidR="000C70EE" w:rsidRPr="00CA5D9E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5465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779E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  <w:t>1</w:t>
            </w:r>
          </w:p>
        </w:tc>
      </w:tr>
      <w:tr w:rsidR="000C70EE" w:rsidRPr="00CC3097" w14:paraId="2F724E99" w14:textId="77777777" w:rsidTr="00BD4D35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A6AB" w14:textId="77777777" w:rsidR="000C70EE" w:rsidRPr="00B24E06" w:rsidRDefault="000C70EE" w:rsidP="00BD4D35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B620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Набір реагентів для виявлення ДНК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Herpes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simplex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virus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1 та 2 типу методом </w:t>
            </w:r>
            <w:proofErr w:type="spellStart"/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полімеразної</w:t>
            </w:r>
            <w:proofErr w:type="spellEnd"/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ланцюгової реакції у реальному часі HSV 1,2-ПЛР, ХЕМА</w:t>
            </w:r>
          </w:p>
          <w:p w14:paraId="0893D8D3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24E0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або еквівалент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90C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49539: Вірус простого герпесу 1 і 2 (HSV1 і 2) нуклеїнова кислота IVD, набір, аналіз нуклеїнових кислот (NAT)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C326" w14:textId="77777777" w:rsidR="000C70EE" w:rsidRPr="00B24E06" w:rsidRDefault="000C70EE" w:rsidP="00BD4D35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Принцип аналізу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базується на проведені моноплексної ПЛР у реальному часі з гібридизаційно-флуоресцентною детекцією. </w:t>
            </w:r>
          </w:p>
          <w:p w14:paraId="4CCF4EB6" w14:textId="77777777" w:rsidR="000C70EE" w:rsidRPr="00B24E06" w:rsidRDefault="000C70EE" w:rsidP="00BD4D3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Реєстрація реакції –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флуориметричний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 метод по двом каналам: FAM/ та контроль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біоматеріалу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по каналу HEX/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80B8804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Формат: на 96 реакцій.</w:t>
            </w:r>
          </w:p>
          <w:p w14:paraId="7D6DCA81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Загальний час проведення реакції приблизно 120 хвилин. </w:t>
            </w:r>
          </w:p>
          <w:p w14:paraId="77FEBAE2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Аналітична чутливість 1*10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копій/мл</w:t>
            </w:r>
          </w:p>
          <w:p w14:paraId="02547268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Діагностична чутливість не менше 98%.</w:t>
            </w:r>
          </w:p>
          <w:p w14:paraId="7CB5AE75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Діагностична специфічність не менше 98%.</w:t>
            </w:r>
          </w:p>
          <w:p w14:paraId="60F2C4ED" w14:textId="77777777" w:rsidR="000C70EE" w:rsidRPr="00B24E06" w:rsidRDefault="000C70EE" w:rsidP="00BD4D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Відсутні перехресні реакції при тестуванні зразків ДНК людини і панелі зразків ДНК наступних мікроорганізмів: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Chlamydia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trachomatis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Chlamydia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pneumoniae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Gardnerella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vaginalys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Lactobacillus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crispatus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Enterococcus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faecium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Escherichia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coli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Staphylococcus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aureus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Streptococcus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pyogenes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Candida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albicans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Mycoplasma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hominis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Mycoplasma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genitalium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Neisseria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gonorrhoeae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Neisseria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flava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Neisseria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subflava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Neisseria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sicca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Neisseria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mucosa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Treponema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pallidum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Trichomonas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vaginalis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Toxoplasma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gondii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Ureaplasma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urealyticum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Ureaplasma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parvum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, CMV, HPV (типи 16, 18, 31, 33, 35, 39, 45, 51, 52, 56, 58, 59). </w:t>
            </w:r>
          </w:p>
          <w:p w14:paraId="5C79A3C5" w14:textId="77777777" w:rsidR="000C70EE" w:rsidRPr="00B24E06" w:rsidRDefault="000C70EE" w:rsidP="00BD4D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Зразок для аналізу: слизові оболонки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урогенітального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тракту, мазок з ротоглотки, ліквор, виділення з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ерозивно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-виразкових уражень 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шкіри та слизових оболонок,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мононуклеарні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клітини периферичного кровообігу.</w:t>
            </w:r>
          </w:p>
          <w:p w14:paraId="418C9714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Об’єм досліджуваного зразка: 10 </w:t>
            </w: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мкл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98CC44A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Буфер, готовий до використання (1.5 мл), прозора рідина від безбарвного до рожевого кольору.</w:t>
            </w:r>
          </w:p>
          <w:p w14:paraId="3853258C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Полімераза</w:t>
            </w:r>
            <w:proofErr w:type="spellEnd"/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, готова до використання  (0.12 мл), прозора безбарвна рідина.</w:t>
            </w:r>
          </w:p>
          <w:p w14:paraId="68D43D74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ПКЗ – позитивний контрольний зразок, готовий до використання ( 1 мл) прозора безбарвна рідина.</w:t>
            </w:r>
          </w:p>
          <w:p w14:paraId="314683ED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НКЗ– негативний контрольний зразок, готовий до використання ( 1 мл) прозора безбарвна рідина.</w:t>
            </w:r>
          </w:p>
          <w:p w14:paraId="793FED71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Інструкція з використання набору українською мовою.</w:t>
            </w:r>
          </w:p>
          <w:p w14:paraId="2484F9CB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Паспорт контролю якості.</w:t>
            </w:r>
          </w:p>
          <w:p w14:paraId="1C6FB066" w14:textId="77777777" w:rsidR="000C70EE" w:rsidRPr="00B24E06" w:rsidRDefault="000C70EE" w:rsidP="00BD4D3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Наявність Декларації про відповідність, Сертифікату про відповідність вимогам Технічного регламенту щодо медичних виробів для діагностики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4E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vitro</w:t>
            </w: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3CEEFC2" w14:textId="77777777" w:rsidR="000C70EE" w:rsidRPr="00B24E06" w:rsidRDefault="000C70EE" w:rsidP="00BD4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24E06">
              <w:rPr>
                <w:rFonts w:ascii="Times New Roman" w:hAnsi="Times New Roman" w:cs="Times New Roman"/>
                <w:sz w:val="22"/>
                <w:szCs w:val="22"/>
              </w:rPr>
              <w:t>Термін придатності набору не менше 12 місяців.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8985" w14:textId="77777777" w:rsidR="000C70EE" w:rsidRPr="0055565C" w:rsidRDefault="000C70EE" w:rsidP="00BD4D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5565C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74F4" w14:textId="77777777" w:rsidR="000C70EE" w:rsidRPr="0055565C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тестів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92F9" w14:textId="77777777" w:rsidR="000C70EE" w:rsidRPr="00E31FBF" w:rsidRDefault="000C70EE" w:rsidP="00BD4D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5D9E"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  <w:t>1</w:t>
            </w:r>
          </w:p>
        </w:tc>
      </w:tr>
    </w:tbl>
    <w:p w14:paraId="4F3E0C09" w14:textId="77777777" w:rsidR="000C70EE" w:rsidRPr="00911A1F" w:rsidRDefault="000C70EE" w:rsidP="000C70EE">
      <w:pPr>
        <w:rPr>
          <w:b/>
          <w:bCs/>
          <w:u w:val="single"/>
        </w:rPr>
      </w:pPr>
    </w:p>
    <w:p w14:paraId="1A60A7EA" w14:textId="77777777" w:rsidR="000C70EE" w:rsidRDefault="000C70EE" w:rsidP="000C70EE">
      <w:pPr>
        <w:ind w:right="7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166C0A" w14:textId="77777777" w:rsidR="000C70EE" w:rsidRPr="00275473" w:rsidRDefault="000C70EE" w:rsidP="000C70EE">
      <w:pPr>
        <w:spacing w:line="240" w:lineRule="auto"/>
        <w:ind w:right="75"/>
        <w:jc w:val="both"/>
        <w:rPr>
          <w:rFonts w:ascii="Times New Roman" w:hAnsi="Times New Roman" w:cs="Times New Roman"/>
          <w:b/>
          <w:bCs/>
        </w:rPr>
      </w:pPr>
      <w:r w:rsidRPr="00275473">
        <w:rPr>
          <w:rFonts w:ascii="Times New Roman" w:hAnsi="Times New Roman" w:cs="Times New Roman"/>
          <w:b/>
          <w:bCs/>
        </w:rPr>
        <w:t>Перелік документів, які вимагаються для підтвердження відповідності пропозиції учасника критеріям:</w:t>
      </w:r>
    </w:p>
    <w:p w14:paraId="3C3B7FAB" w14:textId="77777777" w:rsidR="000C70EE" w:rsidRPr="00275473" w:rsidRDefault="000C70EE" w:rsidP="000C70EE">
      <w:pPr>
        <w:pStyle w:val="a3"/>
        <w:numPr>
          <w:ilvl w:val="0"/>
          <w:numId w:val="1"/>
        </w:numPr>
        <w:tabs>
          <w:tab w:val="left" w:pos="993"/>
        </w:tabs>
        <w:spacing w:after="200" w:line="240" w:lineRule="auto"/>
        <w:ind w:left="0" w:right="75" w:firstLine="0"/>
        <w:jc w:val="both"/>
        <w:rPr>
          <w:rFonts w:ascii="Times New Roman" w:hAnsi="Times New Roman" w:cs="Times New Roman"/>
          <w:szCs w:val="24"/>
        </w:rPr>
      </w:pPr>
      <w:r w:rsidRPr="00275473">
        <w:rPr>
          <w:rFonts w:ascii="Times New Roman" w:hAnsi="Times New Roman" w:cs="Times New Roman"/>
          <w:szCs w:val="24"/>
        </w:rPr>
        <w:t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  гарантійний лист в довільній формі</w:t>
      </w:r>
      <w:r>
        <w:rPr>
          <w:rFonts w:ascii="Times New Roman" w:hAnsi="Times New Roman" w:cs="Times New Roman"/>
          <w:szCs w:val="24"/>
        </w:rPr>
        <w:t xml:space="preserve"> та надати декларацію відповідності</w:t>
      </w:r>
      <w:r w:rsidRPr="00275473">
        <w:rPr>
          <w:rFonts w:ascii="Times New Roman" w:hAnsi="Times New Roman" w:cs="Times New Roman"/>
          <w:szCs w:val="24"/>
        </w:rPr>
        <w:t>).</w:t>
      </w:r>
    </w:p>
    <w:p w14:paraId="519D9A43" w14:textId="77777777" w:rsidR="000C70EE" w:rsidRPr="00275473" w:rsidRDefault="000C70EE" w:rsidP="000C70EE">
      <w:pPr>
        <w:pStyle w:val="a3"/>
        <w:numPr>
          <w:ilvl w:val="0"/>
          <w:numId w:val="1"/>
        </w:numPr>
        <w:tabs>
          <w:tab w:val="left" w:pos="993"/>
        </w:tabs>
        <w:spacing w:after="200" w:line="240" w:lineRule="auto"/>
        <w:ind w:left="0" w:right="75" w:firstLine="0"/>
        <w:jc w:val="both"/>
        <w:rPr>
          <w:rFonts w:ascii="Times New Roman" w:hAnsi="Times New Roman" w:cs="Times New Roman"/>
          <w:szCs w:val="24"/>
        </w:rPr>
      </w:pPr>
      <w:r w:rsidRPr="00275473">
        <w:rPr>
          <w:rFonts w:ascii="Times New Roman" w:hAnsi="Times New Roman" w:cs="Times New Roman"/>
          <w:szCs w:val="24"/>
        </w:rPr>
        <w:t>Товар повинен бути новим (не бути такими, що вживалися чи експлуатувалися), цілим, без пошкоджень заводської упаковки та її змісту, зберігатися при транспортуванні у відповідному температурному режимі,  згідно інструкцій та стандартів. Товар має бути у тарі, яка забезпечує зберігання при транспортуванні (в складі тендерної пропозиції учасники надають  гарантійний лист в довільній формі).</w:t>
      </w:r>
    </w:p>
    <w:p w14:paraId="2633DFB2" w14:textId="77777777" w:rsidR="000C70EE" w:rsidRPr="00275473" w:rsidRDefault="000C70EE" w:rsidP="000C70EE">
      <w:pPr>
        <w:pStyle w:val="a3"/>
        <w:numPr>
          <w:ilvl w:val="0"/>
          <w:numId w:val="1"/>
        </w:numPr>
        <w:tabs>
          <w:tab w:val="left" w:pos="993"/>
        </w:tabs>
        <w:spacing w:after="200" w:line="240" w:lineRule="auto"/>
        <w:ind w:left="0" w:right="75" w:firstLine="0"/>
        <w:jc w:val="both"/>
        <w:rPr>
          <w:rFonts w:ascii="Times New Roman" w:hAnsi="Times New Roman" w:cs="Times New Roman"/>
          <w:szCs w:val="24"/>
        </w:rPr>
      </w:pPr>
      <w:r w:rsidRPr="00275473">
        <w:rPr>
          <w:rFonts w:ascii="Times New Roman" w:hAnsi="Times New Roman" w:cs="Times New Roman"/>
          <w:szCs w:val="24"/>
        </w:rPr>
        <w:t>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а інше) нестиме постачальник (в складі тендерної пропозиції учасники надають  гарантійний лист в довільній формі).</w:t>
      </w:r>
    </w:p>
    <w:p w14:paraId="2F1983F6" w14:textId="77777777" w:rsidR="000C70EE" w:rsidRPr="00275473" w:rsidRDefault="000C70EE" w:rsidP="000C70EE">
      <w:pPr>
        <w:pStyle w:val="a3"/>
        <w:numPr>
          <w:ilvl w:val="0"/>
          <w:numId w:val="1"/>
        </w:numPr>
        <w:tabs>
          <w:tab w:val="left" w:pos="993"/>
        </w:tabs>
        <w:spacing w:after="200" w:line="240" w:lineRule="auto"/>
        <w:ind w:left="0" w:right="75" w:firstLine="0"/>
        <w:jc w:val="both"/>
        <w:rPr>
          <w:rFonts w:ascii="Times New Roman" w:hAnsi="Times New Roman" w:cs="Times New Roman"/>
          <w:szCs w:val="24"/>
        </w:rPr>
      </w:pPr>
      <w:r w:rsidRPr="00275473">
        <w:rPr>
          <w:rFonts w:ascii="Times New Roman" w:hAnsi="Times New Roman" w:cs="Times New Roman"/>
          <w:szCs w:val="24"/>
        </w:rPr>
        <w:t xml:space="preserve">Залишковий термін придатності товару на момент поставки повинен становити </w:t>
      </w:r>
      <w:r w:rsidRPr="00275473">
        <w:rPr>
          <w:rFonts w:ascii="Times New Roman" w:hAnsi="Times New Roman" w:cs="Times New Roman"/>
          <w:szCs w:val="24"/>
          <w:lang w:val="ru-RU"/>
        </w:rPr>
        <w:t xml:space="preserve">не </w:t>
      </w:r>
      <w:r w:rsidRPr="00275473">
        <w:rPr>
          <w:rFonts w:ascii="Times New Roman" w:hAnsi="Times New Roman" w:cs="Times New Roman"/>
          <w:szCs w:val="24"/>
        </w:rPr>
        <w:t>менше 80% загального терміну його придатності. (в складі тендерної пропозиції учасники надають  гарантійний лист в довільній формі).</w:t>
      </w:r>
    </w:p>
    <w:p w14:paraId="00E8351C" w14:textId="77777777" w:rsidR="000C70EE" w:rsidRPr="00275473" w:rsidRDefault="000C70EE" w:rsidP="000C70EE">
      <w:pPr>
        <w:pStyle w:val="a3"/>
        <w:numPr>
          <w:ilvl w:val="0"/>
          <w:numId w:val="1"/>
        </w:numPr>
        <w:tabs>
          <w:tab w:val="left" w:pos="993"/>
        </w:tabs>
        <w:spacing w:after="200" w:line="240" w:lineRule="auto"/>
        <w:ind w:left="0" w:right="75" w:firstLine="0"/>
        <w:jc w:val="both"/>
        <w:rPr>
          <w:rFonts w:ascii="Times New Roman" w:hAnsi="Times New Roman" w:cs="Times New Roman"/>
          <w:szCs w:val="24"/>
        </w:rPr>
      </w:pPr>
      <w:r w:rsidRPr="00275473">
        <w:rPr>
          <w:rFonts w:ascii="Times New Roman" w:hAnsi="Times New Roman" w:cs="Times New Roman"/>
          <w:szCs w:val="24"/>
        </w:rPr>
        <w:t xml:space="preserve">Для підтвердження відповідності тендерних пропозицій медико-технічним вимогам до </w:t>
      </w:r>
      <w:r w:rsidRPr="00275473">
        <w:rPr>
          <w:rFonts w:ascii="Times New Roman" w:hAnsi="Times New Roman" w:cs="Times New Roman"/>
          <w:spacing w:val="-5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предмету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закупівлі,</w:t>
      </w:r>
      <w:r w:rsidRPr="00275473">
        <w:rPr>
          <w:rFonts w:ascii="Times New Roman" w:hAnsi="Times New Roman" w:cs="Times New Roman"/>
          <w:spacing w:val="-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учасники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повинні надати</w:t>
      </w:r>
      <w:r w:rsidRPr="00275473">
        <w:rPr>
          <w:rFonts w:ascii="Times New Roman" w:hAnsi="Times New Roman" w:cs="Times New Roman"/>
          <w:spacing w:val="-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 xml:space="preserve">таблицю відповідності запропонованого товару.  </w:t>
      </w:r>
    </w:p>
    <w:p w14:paraId="674A243F" w14:textId="77777777" w:rsidR="000C70EE" w:rsidRPr="00765FDA" w:rsidRDefault="000C70EE" w:rsidP="000C70EE">
      <w:pPr>
        <w:pStyle w:val="a3"/>
        <w:numPr>
          <w:ilvl w:val="0"/>
          <w:numId w:val="1"/>
        </w:numPr>
        <w:tabs>
          <w:tab w:val="left" w:pos="993"/>
        </w:tabs>
        <w:spacing w:after="200" w:line="240" w:lineRule="auto"/>
        <w:ind w:left="0" w:right="75" w:firstLine="0"/>
        <w:jc w:val="both"/>
        <w:rPr>
          <w:rFonts w:ascii="Times New Roman" w:hAnsi="Times New Roman" w:cs="Times New Roman"/>
          <w:szCs w:val="24"/>
        </w:rPr>
      </w:pPr>
      <w:r w:rsidRPr="00275473">
        <w:rPr>
          <w:rFonts w:ascii="Times New Roman" w:hAnsi="Times New Roman" w:cs="Times New Roman"/>
          <w:szCs w:val="24"/>
        </w:rPr>
        <w:t>Для запобігання придбання фальсифікату або неякісного товару, надати оригінал</w:t>
      </w:r>
      <w:r w:rsidRPr="00275473">
        <w:rPr>
          <w:rFonts w:ascii="Times New Roman" w:hAnsi="Times New Roman" w:cs="Times New Roman"/>
          <w:spacing w:val="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гарантійного листа виробника (представництва, філії виробника – якщо їх відповідні</w:t>
      </w:r>
      <w:r w:rsidRPr="00275473">
        <w:rPr>
          <w:rFonts w:ascii="Times New Roman" w:hAnsi="Times New Roman" w:cs="Times New Roman"/>
          <w:spacing w:val="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повноваження поширюються на територію України), яким підтверджується можливість поставки товару, який є</w:t>
      </w:r>
      <w:r w:rsidRPr="00275473">
        <w:rPr>
          <w:rFonts w:ascii="Times New Roman" w:hAnsi="Times New Roman" w:cs="Times New Roman"/>
          <w:spacing w:val="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предметом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закупівлі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цих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торгів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та</w:t>
      </w:r>
      <w:r w:rsidRPr="00275473">
        <w:rPr>
          <w:rFonts w:ascii="Times New Roman" w:hAnsi="Times New Roman" w:cs="Times New Roman"/>
          <w:spacing w:val="-4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пропонується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Учасником,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у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кількості,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зі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строками</w:t>
      </w:r>
      <w:r w:rsidRPr="00275473">
        <w:rPr>
          <w:rFonts w:ascii="Times New Roman" w:hAnsi="Times New Roman" w:cs="Times New Roman"/>
          <w:spacing w:val="-5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придатності</w:t>
      </w:r>
      <w:r w:rsidRPr="00275473">
        <w:rPr>
          <w:rFonts w:ascii="Times New Roman" w:hAnsi="Times New Roman" w:cs="Times New Roman"/>
          <w:spacing w:val="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та</w:t>
      </w:r>
      <w:r w:rsidRPr="00275473">
        <w:rPr>
          <w:rFonts w:ascii="Times New Roman" w:hAnsi="Times New Roman" w:cs="Times New Roman"/>
          <w:spacing w:val="-3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в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терміни,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визначені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документацією</w:t>
      </w:r>
      <w:r w:rsidRPr="00275473">
        <w:rPr>
          <w:rFonts w:ascii="Times New Roman" w:hAnsi="Times New Roman" w:cs="Times New Roman"/>
          <w:spacing w:val="-3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конкурсних</w:t>
      </w:r>
      <w:r w:rsidRPr="00275473">
        <w:rPr>
          <w:rFonts w:ascii="Times New Roman" w:hAnsi="Times New Roman" w:cs="Times New Roman"/>
          <w:spacing w:val="-3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торгів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та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пропозицією</w:t>
      </w:r>
      <w:r w:rsidRPr="00275473">
        <w:rPr>
          <w:rFonts w:ascii="Times New Roman" w:hAnsi="Times New Roman" w:cs="Times New Roman"/>
          <w:spacing w:val="-3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Учасника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торгів.</w:t>
      </w:r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Гарантійний лист повинен включати номер оголошення, оприлюдненого на веб-порталі</w:t>
      </w:r>
      <w:r w:rsidRPr="00275473">
        <w:rPr>
          <w:rFonts w:ascii="Times New Roman" w:hAnsi="Times New Roman" w:cs="Times New Roman"/>
          <w:spacing w:val="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Уповноваженого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органу,</w:t>
      </w:r>
      <w:r w:rsidRPr="00275473">
        <w:rPr>
          <w:rFonts w:ascii="Times New Roman" w:hAnsi="Times New Roman" w:cs="Times New Roman"/>
          <w:spacing w:val="-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а</w:t>
      </w:r>
      <w:r w:rsidRPr="00275473">
        <w:rPr>
          <w:rFonts w:ascii="Times New Roman" w:hAnsi="Times New Roman" w:cs="Times New Roman"/>
          <w:spacing w:val="-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також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назву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предмету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закупівлі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та</w:t>
      </w:r>
      <w:r w:rsidRPr="00275473">
        <w:rPr>
          <w:rFonts w:ascii="Times New Roman" w:hAnsi="Times New Roman" w:cs="Times New Roman"/>
          <w:spacing w:val="-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назву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замовника</w:t>
      </w:r>
      <w:r w:rsidRPr="00275473">
        <w:rPr>
          <w:rFonts w:ascii="Times New Roman" w:hAnsi="Times New Roman" w:cs="Times New Roman"/>
          <w:spacing w:val="-2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згідно</w:t>
      </w:r>
      <w:r w:rsidRPr="00275473">
        <w:rPr>
          <w:rFonts w:ascii="Times New Roman" w:hAnsi="Times New Roman" w:cs="Times New Roman"/>
          <w:spacing w:val="-1"/>
          <w:szCs w:val="24"/>
        </w:rPr>
        <w:t xml:space="preserve"> </w:t>
      </w:r>
      <w:r w:rsidRPr="00275473">
        <w:rPr>
          <w:rFonts w:ascii="Times New Roman" w:hAnsi="Times New Roman" w:cs="Times New Roman"/>
          <w:szCs w:val="24"/>
        </w:rPr>
        <w:t>оголошення.</w:t>
      </w:r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Якщо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гарантійний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лист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видається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не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виробником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надати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у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складі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тендерної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пропозиції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документи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що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підтверджують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75473">
        <w:rPr>
          <w:rFonts w:ascii="Times New Roman" w:hAnsi="Times New Roman" w:cs="Times New Roman"/>
          <w:szCs w:val="24"/>
          <w:lang w:val="ru-RU"/>
        </w:rPr>
        <w:t>повноваження</w:t>
      </w:r>
      <w:proofErr w:type="spellEnd"/>
      <w:r w:rsidRPr="00275473">
        <w:rPr>
          <w:rFonts w:ascii="Times New Roman" w:hAnsi="Times New Roman" w:cs="Times New Roman"/>
          <w:szCs w:val="24"/>
          <w:lang w:val="ru-RU"/>
        </w:rPr>
        <w:t xml:space="preserve"> в</w:t>
      </w:r>
      <w:r w:rsidRPr="00275473">
        <w:rPr>
          <w:rFonts w:ascii="Times New Roman" w:hAnsi="Times New Roman" w:cs="Times New Roman"/>
          <w:szCs w:val="24"/>
        </w:rPr>
        <w:t>ід виробника.</w:t>
      </w:r>
    </w:p>
    <w:p w14:paraId="225D841E" w14:textId="77777777" w:rsidR="000C70EE" w:rsidRDefault="000C70EE" w:rsidP="000C70EE"/>
    <w:p w14:paraId="78A2422B" w14:textId="77777777" w:rsidR="000C70EE" w:rsidRDefault="000C70EE" w:rsidP="000C70EE"/>
    <w:p w14:paraId="2AC89BED" w14:textId="77777777" w:rsidR="009E3AE3" w:rsidRDefault="009E3AE3"/>
    <w:sectPr w:rsidR="009E3AE3" w:rsidSect="00B66815">
      <w:pgSz w:w="16838" w:h="11906" w:orient="landscape"/>
      <w:pgMar w:top="567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Lohit Devanagar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8D5"/>
    <w:multiLevelType w:val="hybridMultilevel"/>
    <w:tmpl w:val="D510816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A0F3F"/>
    <w:multiLevelType w:val="hybridMultilevel"/>
    <w:tmpl w:val="B0728BFE"/>
    <w:lvl w:ilvl="0" w:tplc="FE2A31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EE"/>
    <w:rsid w:val="000C70EE"/>
    <w:rsid w:val="009E3AE3"/>
    <w:rsid w:val="00A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C65A"/>
  <w15:chartTrackingRefBased/>
  <w15:docId w15:val="{E09C3FA5-E822-41E2-9C82-AE15D17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E"/>
    <w:pPr>
      <w:spacing w:after="0"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EE"/>
    <w:pPr>
      <w:ind w:left="720"/>
      <w:contextualSpacing/>
    </w:pPr>
    <w:rPr>
      <w:rFonts w:cs="Mangal"/>
      <w:szCs w:val="21"/>
    </w:rPr>
  </w:style>
  <w:style w:type="character" w:styleId="a4">
    <w:name w:val="Hyperlink"/>
    <w:uiPriority w:val="99"/>
    <w:rsid w:val="000C70EE"/>
    <w:rPr>
      <w:color w:val="0000FF"/>
      <w:u w:val="single"/>
    </w:rPr>
  </w:style>
  <w:style w:type="paragraph" w:styleId="a5">
    <w:name w:val="No Spacing"/>
    <w:link w:val="a6"/>
    <w:uiPriority w:val="1"/>
    <w:qFormat/>
    <w:rsid w:val="000C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C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0C70E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fcertsearch.org/certification/c9899401-7723-581a-90e7-ddc588eb47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fcertsearch.org/certification/c9899401-7723-581a-90e7-ddc588eb47cb" TargetMode="External"/><Relationship Id="rId5" Type="http://schemas.openxmlformats.org/officeDocument/2006/relationships/hyperlink" Target="https://www.iafcertsearch.org/certification/c9899401-7723-581a-90e7-ddc588eb47c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4579</Words>
  <Characters>26105</Characters>
  <Application>Microsoft Office Word</Application>
  <DocSecurity>0</DocSecurity>
  <Lines>217</Lines>
  <Paragraphs>61</Paragraphs>
  <ScaleCrop>false</ScaleCrop>
  <Company/>
  <LinksUpToDate>false</LinksUpToDate>
  <CharactersWithSpaces>30623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2024-03-13T19:18:00Z</dcterms:created>
  <dcterms:modified xsi:type="dcterms:W3CDTF">2024-03-13T19:18:00Z</dcterms:modified>
</cp:coreProperties>
</file>