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F8570A">
        <w:rPr>
          <w:rFonts w:eastAsia="Calibri"/>
          <w:sz w:val="24"/>
          <w:szCs w:val="24"/>
          <w:lang w:eastAsia="en-US"/>
        </w:rPr>
        <w:t>21</w:t>
      </w:r>
      <w:r w:rsidR="00372E18" w:rsidRPr="00F42E59">
        <w:rPr>
          <w:rFonts w:eastAsia="Calibri"/>
          <w:sz w:val="24"/>
          <w:szCs w:val="24"/>
          <w:lang w:eastAsia="en-US"/>
        </w:rPr>
        <w:t xml:space="preserve"> від </w:t>
      </w:r>
      <w:r w:rsidR="00F8570A">
        <w:rPr>
          <w:rFonts w:eastAsia="Calibri"/>
          <w:sz w:val="24"/>
          <w:szCs w:val="24"/>
          <w:lang w:eastAsia="en-US"/>
        </w:rPr>
        <w:t>12</w:t>
      </w:r>
      <w:r w:rsidR="00573B27">
        <w:rPr>
          <w:rFonts w:eastAsia="Calibri"/>
          <w:sz w:val="24"/>
          <w:szCs w:val="24"/>
          <w:lang w:eastAsia="en-US"/>
        </w:rPr>
        <w:t>.</w:t>
      </w:r>
      <w:r w:rsidR="00573B27" w:rsidRPr="00A940AD">
        <w:rPr>
          <w:rFonts w:eastAsia="Calibri"/>
          <w:sz w:val="24"/>
          <w:szCs w:val="24"/>
          <w:lang w:eastAsia="en-US"/>
        </w:rPr>
        <w:t>03</w:t>
      </w:r>
      <w:r w:rsidR="00372E18" w:rsidRPr="00F42E59">
        <w:rPr>
          <w:rFonts w:eastAsia="Calibri"/>
          <w:sz w:val="24"/>
          <w:szCs w:val="24"/>
          <w:lang w:eastAsia="en-US"/>
        </w:rPr>
        <w:t>.202</w:t>
      </w:r>
      <w:r w:rsidR="00573B27" w:rsidRPr="00A940AD">
        <w:rPr>
          <w:rFonts w:eastAsia="Calibri"/>
          <w:sz w:val="24"/>
          <w:szCs w:val="24"/>
          <w:lang w:eastAsia="en-US"/>
        </w:rPr>
        <w:t>4</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135D44" w:rsidRPr="00DC3CC5" w:rsidRDefault="00A940AD" w:rsidP="00372E18">
      <w:pPr>
        <w:ind w:right="-25"/>
        <w:jc w:val="center"/>
        <w:outlineLvl w:val="0"/>
        <w:rPr>
          <w:bCs/>
          <w:sz w:val="22"/>
          <w:szCs w:val="22"/>
        </w:rPr>
      </w:pPr>
      <w:r w:rsidRPr="00A940AD">
        <w:rPr>
          <w:b/>
          <w:sz w:val="24"/>
          <w:szCs w:val="24"/>
        </w:rPr>
        <w:t>ДК: 021:2015 ― 33690000-3 Лікарські засоби різні (Лабораторні реактиви)</w:t>
      </w:r>
      <w:r w:rsidR="00372E18"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«Болградська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Default="00A940AD" w:rsidP="00F8570A">
            <w:pPr>
              <w:pStyle w:val="af"/>
              <w:spacing w:before="0" w:beforeAutospacing="0" w:after="0" w:afterAutospacing="0"/>
              <w:rPr>
                <w:rFonts w:eastAsia="Arial"/>
                <w:b/>
                <w:sz w:val="20"/>
                <w:szCs w:val="20"/>
                <w:shd w:val="clear" w:color="auto" w:fill="FFFFFF"/>
                <w:lang w:val="uk-UA" w:eastAsia="ar-SA"/>
              </w:rPr>
            </w:pPr>
            <w:bookmarkStart w:id="0" w:name="_GoBack"/>
            <w:r w:rsidRPr="00FC3CE0">
              <w:rPr>
                <w:rFonts w:eastAsia="Arial"/>
                <w:b/>
                <w:sz w:val="20"/>
                <w:szCs w:val="20"/>
                <w:shd w:val="clear" w:color="auto" w:fill="FFFFFF"/>
                <w:lang w:eastAsia="ar-SA"/>
              </w:rPr>
              <w:t xml:space="preserve">ДК: 021:2015 </w:t>
            </w:r>
            <w:r w:rsidRPr="004F4BFF">
              <w:rPr>
                <w:rFonts w:eastAsia="Arial"/>
                <w:b/>
                <w:sz w:val="20"/>
                <w:szCs w:val="20"/>
                <w:shd w:val="clear" w:color="auto" w:fill="FFFFFF"/>
                <w:lang w:eastAsia="ar-SA"/>
              </w:rPr>
              <w:t>―</w:t>
            </w:r>
            <w:r w:rsidRPr="00FC3CE0">
              <w:rPr>
                <w:rFonts w:eastAsia="Arial"/>
                <w:b/>
                <w:sz w:val="20"/>
                <w:szCs w:val="20"/>
                <w:shd w:val="clear" w:color="auto" w:fill="FFFFFF"/>
                <w:lang w:eastAsia="ar-SA"/>
              </w:rPr>
              <w:t xml:space="preserve"> 33690000-3 </w:t>
            </w:r>
            <w:proofErr w:type="spellStart"/>
            <w:r w:rsidRPr="00FC3CE0">
              <w:rPr>
                <w:rFonts w:eastAsia="Arial"/>
                <w:b/>
                <w:sz w:val="20"/>
                <w:szCs w:val="20"/>
                <w:shd w:val="clear" w:color="auto" w:fill="FFFFFF"/>
                <w:lang w:eastAsia="ar-SA"/>
              </w:rPr>
              <w:t>Лікарські</w:t>
            </w:r>
            <w:proofErr w:type="spellEnd"/>
            <w:r w:rsidRPr="00FC3CE0">
              <w:rPr>
                <w:rFonts w:eastAsia="Arial"/>
                <w:b/>
                <w:sz w:val="20"/>
                <w:szCs w:val="20"/>
                <w:shd w:val="clear" w:color="auto" w:fill="FFFFFF"/>
                <w:lang w:eastAsia="ar-SA"/>
              </w:rPr>
              <w:t xml:space="preserve"> </w:t>
            </w:r>
            <w:proofErr w:type="spellStart"/>
            <w:r w:rsidRPr="00FC3CE0">
              <w:rPr>
                <w:rFonts w:eastAsia="Arial"/>
                <w:b/>
                <w:sz w:val="20"/>
                <w:szCs w:val="20"/>
                <w:shd w:val="clear" w:color="auto" w:fill="FFFFFF"/>
                <w:lang w:eastAsia="ar-SA"/>
              </w:rPr>
              <w:t>засоби</w:t>
            </w:r>
            <w:proofErr w:type="spellEnd"/>
            <w:r w:rsidRPr="00FC3CE0">
              <w:rPr>
                <w:rFonts w:eastAsia="Arial"/>
                <w:b/>
                <w:sz w:val="20"/>
                <w:szCs w:val="20"/>
                <w:shd w:val="clear" w:color="auto" w:fill="FFFFFF"/>
                <w:lang w:eastAsia="ar-SA"/>
              </w:rPr>
              <w:t xml:space="preserve"> </w:t>
            </w:r>
            <w:proofErr w:type="spellStart"/>
            <w:r w:rsidRPr="00FC3CE0">
              <w:rPr>
                <w:rFonts w:eastAsia="Arial"/>
                <w:b/>
                <w:sz w:val="20"/>
                <w:szCs w:val="20"/>
                <w:shd w:val="clear" w:color="auto" w:fill="FFFFFF"/>
                <w:lang w:eastAsia="ar-SA"/>
              </w:rPr>
              <w:t>різні</w:t>
            </w:r>
            <w:proofErr w:type="spellEnd"/>
            <w:r w:rsidRPr="00FC3CE0">
              <w:rPr>
                <w:rFonts w:eastAsia="Arial"/>
                <w:b/>
                <w:sz w:val="20"/>
                <w:szCs w:val="20"/>
                <w:shd w:val="clear" w:color="auto" w:fill="FFFFFF"/>
                <w:lang w:eastAsia="ar-SA"/>
              </w:rPr>
              <w:t xml:space="preserve"> (</w:t>
            </w:r>
            <w:proofErr w:type="spellStart"/>
            <w:r w:rsidRPr="00FC3CE0">
              <w:rPr>
                <w:rFonts w:eastAsia="Arial"/>
                <w:b/>
                <w:sz w:val="20"/>
                <w:szCs w:val="20"/>
                <w:shd w:val="clear" w:color="auto" w:fill="FFFFFF"/>
                <w:lang w:eastAsia="ar-SA"/>
              </w:rPr>
              <w:t>Лабораторні</w:t>
            </w:r>
            <w:proofErr w:type="spellEnd"/>
            <w:r w:rsidRPr="00FC3CE0">
              <w:rPr>
                <w:rFonts w:eastAsia="Arial"/>
                <w:b/>
                <w:sz w:val="20"/>
                <w:szCs w:val="20"/>
                <w:shd w:val="clear" w:color="auto" w:fill="FFFFFF"/>
                <w:lang w:eastAsia="ar-SA"/>
              </w:rPr>
              <w:t xml:space="preserve"> </w:t>
            </w:r>
            <w:proofErr w:type="spellStart"/>
            <w:r w:rsidRPr="00FC3CE0">
              <w:rPr>
                <w:rFonts w:eastAsia="Arial"/>
                <w:b/>
                <w:sz w:val="20"/>
                <w:szCs w:val="20"/>
                <w:shd w:val="clear" w:color="auto" w:fill="FFFFFF"/>
                <w:lang w:eastAsia="ar-SA"/>
              </w:rPr>
              <w:t>реактиви</w:t>
            </w:r>
            <w:proofErr w:type="spellEnd"/>
            <w:r w:rsidRPr="00FC3CE0">
              <w:rPr>
                <w:rFonts w:eastAsia="Arial"/>
                <w:b/>
                <w:sz w:val="20"/>
                <w:szCs w:val="20"/>
                <w:shd w:val="clear" w:color="auto" w:fill="FFFFFF"/>
                <w:lang w:eastAsia="ar-SA"/>
              </w:rPr>
              <w:t>)</w:t>
            </w:r>
            <w:r>
              <w:rPr>
                <w:rFonts w:eastAsia="Arial"/>
                <w:b/>
                <w:sz w:val="20"/>
                <w:szCs w:val="20"/>
                <w:shd w:val="clear" w:color="auto" w:fill="FFFFFF"/>
                <w:lang w:val="uk-UA" w:eastAsia="ar-SA"/>
              </w:rPr>
              <w:t>:</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1. Реагент M-53P </w:t>
            </w:r>
            <w:proofErr w:type="spellStart"/>
            <w:r w:rsidRPr="00864FD3">
              <w:rPr>
                <w:rFonts w:eastAsia="Arial"/>
                <w:shd w:val="clear" w:color="auto" w:fill="FFFFFF"/>
                <w:lang w:eastAsia="ar-SA"/>
              </w:rPr>
              <w:t>Probe</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Cleanser</w:t>
            </w:r>
            <w:proofErr w:type="spellEnd"/>
            <w:r w:rsidRPr="00864FD3">
              <w:rPr>
                <w:rFonts w:eastAsia="Arial"/>
                <w:shd w:val="clear" w:color="auto" w:fill="FFFFFF"/>
                <w:lang w:eastAsia="ar-SA"/>
              </w:rPr>
              <w:t xml:space="preserve"> (50ml), НК 024:2023 ― 59058 Мийний/очищувальний розчин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xml:space="preserve">) для автоматизованих / </w:t>
            </w:r>
            <w:proofErr w:type="spellStart"/>
            <w:r w:rsidRPr="00864FD3">
              <w:rPr>
                <w:rFonts w:eastAsia="Arial"/>
                <w:shd w:val="clear" w:color="auto" w:fill="FFFFFF"/>
                <w:lang w:eastAsia="ar-SA"/>
              </w:rPr>
              <w:t>напівавтоматизованих</w:t>
            </w:r>
            <w:proofErr w:type="spellEnd"/>
            <w:r w:rsidRPr="00864FD3">
              <w:rPr>
                <w:rFonts w:eastAsia="Arial"/>
                <w:shd w:val="clear" w:color="auto" w:fill="FFFFFF"/>
                <w:lang w:eastAsia="ar-SA"/>
              </w:rPr>
              <w:t xml:space="preserve"> систем;</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2. Контрольний матеріал CBC-3D 2.0мл, нормальний рівень, НК 024:2023 ― 55866 Підрахунок клітин крові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контрольний матеріал;</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3. Контрольний матеріал CBC-5DMR 1x3.0мл, норма, НК 024:2023 ― 55866 Підрахунок клітин крові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контрольний матеріал;</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4. Реагент «M-52DIFF </w:t>
            </w:r>
            <w:proofErr w:type="spellStart"/>
            <w:r w:rsidRPr="00864FD3">
              <w:rPr>
                <w:rFonts w:eastAsia="Arial"/>
                <w:shd w:val="clear" w:color="auto" w:fill="FFFFFF"/>
                <w:lang w:eastAsia="ar-SA"/>
              </w:rPr>
              <w:t>Lyse</w:t>
            </w:r>
            <w:proofErr w:type="spellEnd"/>
            <w:r w:rsidRPr="00864FD3">
              <w:rPr>
                <w:rFonts w:eastAsia="Arial"/>
                <w:shd w:val="clear" w:color="auto" w:fill="FFFFFF"/>
                <w:lang w:eastAsia="ar-SA"/>
              </w:rPr>
              <w:t xml:space="preserve">» 500мл, НК 024:2023 ― 61165 Реагент для лізису клітин крові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5. Реагент «M-52LH </w:t>
            </w:r>
            <w:proofErr w:type="spellStart"/>
            <w:r w:rsidRPr="00864FD3">
              <w:rPr>
                <w:rFonts w:eastAsia="Arial"/>
                <w:shd w:val="clear" w:color="auto" w:fill="FFFFFF"/>
                <w:lang w:eastAsia="ar-SA"/>
              </w:rPr>
              <w:t>Lyse</w:t>
            </w:r>
            <w:proofErr w:type="spellEnd"/>
            <w:r w:rsidRPr="00864FD3">
              <w:rPr>
                <w:rFonts w:eastAsia="Arial"/>
                <w:shd w:val="clear" w:color="auto" w:fill="FFFFFF"/>
                <w:lang w:eastAsia="ar-SA"/>
              </w:rPr>
              <w:t xml:space="preserve">» 100мл, НК 024:2023 ― 61165 Реагент для лізису клітин крові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6. Реагент «M-52D </w:t>
            </w:r>
            <w:proofErr w:type="spellStart"/>
            <w:r w:rsidRPr="00864FD3">
              <w:rPr>
                <w:rFonts w:eastAsia="Arial"/>
                <w:shd w:val="clear" w:color="auto" w:fill="FFFFFF"/>
                <w:lang w:eastAsia="ar-SA"/>
              </w:rPr>
              <w:t>Diluent</w:t>
            </w:r>
            <w:proofErr w:type="spellEnd"/>
            <w:r w:rsidRPr="00864FD3">
              <w:rPr>
                <w:rFonts w:eastAsia="Arial"/>
                <w:shd w:val="clear" w:color="auto" w:fill="FFFFFF"/>
                <w:lang w:eastAsia="ar-SA"/>
              </w:rPr>
              <w:t xml:space="preserve">» 20л, НК 024:2023 ― 58237 Буферний розчинник зразків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автоматичні / напівавтоматичні системи;</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7. Реагент «M-30E E-Z </w:t>
            </w:r>
            <w:proofErr w:type="spellStart"/>
            <w:r w:rsidRPr="00864FD3">
              <w:rPr>
                <w:rFonts w:eastAsia="Arial"/>
                <w:shd w:val="clear" w:color="auto" w:fill="FFFFFF"/>
                <w:lang w:eastAsia="ar-SA"/>
              </w:rPr>
              <w:t>cleanser</w:t>
            </w:r>
            <w:proofErr w:type="spellEnd"/>
            <w:r w:rsidRPr="00864FD3">
              <w:rPr>
                <w:rFonts w:eastAsia="Arial"/>
                <w:shd w:val="clear" w:color="auto" w:fill="FFFFFF"/>
                <w:lang w:eastAsia="ar-SA"/>
              </w:rPr>
              <w:t xml:space="preserve">» 100мл, НК 024:2023 ― 59058 Мийний / очищувальний розчин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xml:space="preserve">) для автоматизованих / </w:t>
            </w:r>
            <w:proofErr w:type="spellStart"/>
            <w:r w:rsidRPr="00864FD3">
              <w:rPr>
                <w:rFonts w:eastAsia="Arial"/>
                <w:shd w:val="clear" w:color="auto" w:fill="FFFFFF"/>
                <w:lang w:eastAsia="ar-SA"/>
              </w:rPr>
              <w:t>напівавтоматизованих</w:t>
            </w:r>
            <w:proofErr w:type="spellEnd"/>
            <w:r w:rsidRPr="00864FD3">
              <w:rPr>
                <w:rFonts w:eastAsia="Arial"/>
                <w:shd w:val="clear" w:color="auto" w:fill="FFFFFF"/>
                <w:lang w:eastAsia="ar-SA"/>
              </w:rPr>
              <w:t xml:space="preserve"> систем;</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8. IF1006 Експрес-тест D-</w:t>
            </w:r>
            <w:proofErr w:type="spellStart"/>
            <w:r w:rsidRPr="00864FD3">
              <w:rPr>
                <w:rFonts w:eastAsia="Arial"/>
                <w:shd w:val="clear" w:color="auto" w:fill="FFFFFF"/>
                <w:lang w:eastAsia="ar-SA"/>
              </w:rPr>
              <w:t>Dimer</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Fast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Test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Kit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Immunofluorescence</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Assay</w:t>
            </w:r>
            <w:proofErr w:type="spellEnd"/>
            <w:r w:rsidRPr="00864FD3">
              <w:rPr>
                <w:rFonts w:eastAsia="Arial"/>
                <w:shd w:val="clear" w:color="auto" w:fill="FFFFFF"/>
                <w:lang w:eastAsia="ar-SA"/>
              </w:rPr>
              <w:t xml:space="preserve">), 25 </w:t>
            </w:r>
            <w:proofErr w:type="spellStart"/>
            <w:r w:rsidRPr="00864FD3">
              <w:rPr>
                <w:rFonts w:eastAsia="Arial"/>
                <w:shd w:val="clear" w:color="auto" w:fill="FFFFFF"/>
                <w:lang w:eastAsia="ar-SA"/>
              </w:rPr>
              <w:t>шт</w:t>
            </w:r>
            <w:proofErr w:type="spellEnd"/>
            <w:r w:rsidRPr="00864FD3">
              <w:rPr>
                <w:rFonts w:eastAsia="Arial"/>
                <w:shd w:val="clear" w:color="auto" w:fill="FFFFFF"/>
                <w:lang w:eastAsia="ar-SA"/>
              </w:rPr>
              <w:t>/</w:t>
            </w:r>
            <w:proofErr w:type="spellStart"/>
            <w:r w:rsidRPr="00864FD3">
              <w:rPr>
                <w:rFonts w:eastAsia="Arial"/>
                <w:shd w:val="clear" w:color="auto" w:fill="FFFFFF"/>
                <w:lang w:eastAsia="ar-SA"/>
              </w:rPr>
              <w:t>уп</w:t>
            </w:r>
            <w:proofErr w:type="spellEnd"/>
            <w:r w:rsidRPr="00864FD3">
              <w:rPr>
                <w:rFonts w:eastAsia="Arial"/>
                <w:shd w:val="clear" w:color="auto" w:fill="FFFFFF"/>
                <w:lang w:eastAsia="ar-SA"/>
              </w:rPr>
              <w:t>, НК 024:2023 ― 47343 D-</w:t>
            </w:r>
            <w:proofErr w:type="spellStart"/>
            <w:r w:rsidRPr="00864FD3">
              <w:rPr>
                <w:rFonts w:eastAsia="Arial"/>
                <w:shd w:val="clear" w:color="auto" w:fill="FFFFFF"/>
                <w:lang w:eastAsia="ar-SA"/>
              </w:rPr>
              <w:t>димер</w:t>
            </w:r>
            <w:proofErr w:type="spellEnd"/>
            <w:r w:rsidRPr="00864FD3">
              <w:rPr>
                <w:rFonts w:eastAsia="Arial"/>
                <w:shd w:val="clear" w:color="auto" w:fill="FFFFFF"/>
                <w:lang w:eastAsia="ar-SA"/>
              </w:rPr>
              <w:t xml:space="preserve">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xml:space="preserve">), набір, </w:t>
            </w:r>
            <w:proofErr w:type="spellStart"/>
            <w:r w:rsidRPr="00864FD3">
              <w:rPr>
                <w:rFonts w:eastAsia="Arial"/>
                <w:shd w:val="clear" w:color="auto" w:fill="FFFFFF"/>
                <w:lang w:eastAsia="ar-SA"/>
              </w:rPr>
              <w:t>імунохроматографічний</w:t>
            </w:r>
            <w:proofErr w:type="spellEnd"/>
            <w:r w:rsidRPr="00864FD3">
              <w:rPr>
                <w:rFonts w:eastAsia="Arial"/>
                <w:shd w:val="clear" w:color="auto" w:fill="FFFFFF"/>
                <w:lang w:eastAsia="ar-SA"/>
              </w:rPr>
              <w:t xml:space="preserve"> тест (ІХТ), експрес-тест;</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9. IF1007 Експрес-тест PCT </w:t>
            </w:r>
            <w:proofErr w:type="spellStart"/>
            <w:r w:rsidRPr="00864FD3">
              <w:rPr>
                <w:rFonts w:eastAsia="Arial"/>
                <w:shd w:val="clear" w:color="auto" w:fill="FFFFFF"/>
                <w:lang w:eastAsia="ar-SA"/>
              </w:rPr>
              <w:t>Fast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Test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Kit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Immunofluorescence</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Assay</w:t>
            </w:r>
            <w:proofErr w:type="spellEnd"/>
            <w:r w:rsidRPr="00864FD3">
              <w:rPr>
                <w:rFonts w:eastAsia="Arial"/>
                <w:shd w:val="clear" w:color="auto" w:fill="FFFFFF"/>
                <w:lang w:eastAsia="ar-SA"/>
              </w:rPr>
              <w:t xml:space="preserve">), 25 </w:t>
            </w:r>
            <w:proofErr w:type="spellStart"/>
            <w:r w:rsidRPr="00864FD3">
              <w:rPr>
                <w:rFonts w:eastAsia="Arial"/>
                <w:shd w:val="clear" w:color="auto" w:fill="FFFFFF"/>
                <w:lang w:eastAsia="ar-SA"/>
              </w:rPr>
              <w:t>шт</w:t>
            </w:r>
            <w:proofErr w:type="spellEnd"/>
            <w:r w:rsidRPr="00864FD3">
              <w:rPr>
                <w:rFonts w:eastAsia="Arial"/>
                <w:shd w:val="clear" w:color="auto" w:fill="FFFFFF"/>
                <w:lang w:eastAsia="ar-SA"/>
              </w:rPr>
              <w:t>/</w:t>
            </w:r>
            <w:proofErr w:type="spellStart"/>
            <w:r w:rsidRPr="00864FD3">
              <w:rPr>
                <w:rFonts w:eastAsia="Arial"/>
                <w:shd w:val="clear" w:color="auto" w:fill="FFFFFF"/>
                <w:lang w:eastAsia="ar-SA"/>
              </w:rPr>
              <w:t>уп</w:t>
            </w:r>
            <w:proofErr w:type="spellEnd"/>
            <w:r w:rsidRPr="00864FD3">
              <w:rPr>
                <w:rFonts w:eastAsia="Arial"/>
                <w:shd w:val="clear" w:color="auto" w:fill="FFFFFF"/>
                <w:lang w:eastAsia="ar-SA"/>
              </w:rPr>
              <w:t xml:space="preserve">, НК 024:2023 ― 58731 </w:t>
            </w:r>
            <w:proofErr w:type="spellStart"/>
            <w:r w:rsidRPr="00864FD3">
              <w:rPr>
                <w:rFonts w:eastAsia="Arial"/>
                <w:shd w:val="clear" w:color="auto" w:fill="FFFFFF"/>
                <w:lang w:eastAsia="ar-SA"/>
              </w:rPr>
              <w:t>Прокальцитонін</w:t>
            </w:r>
            <w:proofErr w:type="spellEnd"/>
            <w:r w:rsidRPr="00864FD3">
              <w:rPr>
                <w:rFonts w:eastAsia="Arial"/>
                <w:shd w:val="clear" w:color="auto" w:fill="FFFFFF"/>
                <w:lang w:eastAsia="ar-SA"/>
              </w:rPr>
              <w:t xml:space="preserve"> ІВД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xml:space="preserve">), набір, </w:t>
            </w:r>
            <w:proofErr w:type="spellStart"/>
            <w:r w:rsidRPr="00864FD3">
              <w:rPr>
                <w:rFonts w:eastAsia="Arial"/>
                <w:shd w:val="clear" w:color="auto" w:fill="FFFFFF"/>
                <w:lang w:eastAsia="ar-SA"/>
              </w:rPr>
              <w:t>імунохемілюмінесцентний</w:t>
            </w:r>
            <w:proofErr w:type="spellEnd"/>
            <w:r w:rsidRPr="00864FD3">
              <w:rPr>
                <w:rFonts w:eastAsia="Arial"/>
                <w:shd w:val="clear" w:color="auto" w:fill="FFFFFF"/>
                <w:lang w:eastAsia="ar-SA"/>
              </w:rPr>
              <w:t xml:space="preserve"> аналіз;</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10. IF1005 Експрес-тест CK-MB/</w:t>
            </w:r>
            <w:proofErr w:type="spellStart"/>
            <w:r w:rsidRPr="00864FD3">
              <w:rPr>
                <w:rFonts w:eastAsia="Arial"/>
                <w:shd w:val="clear" w:color="auto" w:fill="FFFFFF"/>
                <w:lang w:eastAsia="ar-SA"/>
              </w:rPr>
              <w:t>cTnI</w:t>
            </w:r>
            <w:proofErr w:type="spellEnd"/>
            <w:r w:rsidRPr="00864FD3">
              <w:rPr>
                <w:rFonts w:eastAsia="Arial"/>
                <w:shd w:val="clear" w:color="auto" w:fill="FFFFFF"/>
                <w:lang w:eastAsia="ar-SA"/>
              </w:rPr>
              <w:t>/</w:t>
            </w:r>
            <w:proofErr w:type="spellStart"/>
            <w:r w:rsidRPr="00864FD3">
              <w:rPr>
                <w:rFonts w:eastAsia="Arial"/>
                <w:shd w:val="clear" w:color="auto" w:fill="FFFFFF"/>
                <w:lang w:eastAsia="ar-SA"/>
              </w:rPr>
              <w:t>Myo</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імунофлуоресценція</w:t>
            </w:r>
            <w:proofErr w:type="spellEnd"/>
            <w:r w:rsidRPr="00864FD3">
              <w:rPr>
                <w:rFonts w:eastAsia="Arial"/>
                <w:shd w:val="clear" w:color="auto" w:fill="FFFFFF"/>
                <w:lang w:eastAsia="ar-SA"/>
              </w:rPr>
              <w:t xml:space="preserve">), НК 024:2023 ― 53001 Загальна </w:t>
            </w:r>
            <w:proofErr w:type="spellStart"/>
            <w:r w:rsidRPr="00864FD3">
              <w:rPr>
                <w:rFonts w:eastAsia="Arial"/>
                <w:shd w:val="clear" w:color="auto" w:fill="FFFFFF"/>
                <w:lang w:eastAsia="ar-SA"/>
              </w:rPr>
              <w:t>креатинкіназа</w:t>
            </w:r>
            <w:proofErr w:type="spellEnd"/>
            <w:r w:rsidRPr="00864FD3">
              <w:rPr>
                <w:rFonts w:eastAsia="Arial"/>
                <w:shd w:val="clear" w:color="auto" w:fill="FFFFFF"/>
                <w:lang w:eastAsia="ar-SA"/>
              </w:rPr>
              <w:t xml:space="preserve">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набір, ферментний спектрофотометричний аналіз;</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11. IF1017 Експрес-тест HbA1C/</w:t>
            </w:r>
            <w:proofErr w:type="spellStart"/>
            <w:r w:rsidRPr="00864FD3">
              <w:rPr>
                <w:rFonts w:eastAsia="Arial"/>
                <w:shd w:val="clear" w:color="auto" w:fill="FFFFFF"/>
                <w:lang w:eastAsia="ar-SA"/>
              </w:rPr>
              <w:t>глікований</w:t>
            </w:r>
            <w:proofErr w:type="spellEnd"/>
            <w:r w:rsidRPr="00864FD3">
              <w:rPr>
                <w:rFonts w:eastAsia="Arial"/>
                <w:shd w:val="clear" w:color="auto" w:fill="FFFFFF"/>
                <w:lang w:eastAsia="ar-SA"/>
              </w:rPr>
              <w:t xml:space="preserve"> гемоглобін (кількісний), 25 </w:t>
            </w:r>
            <w:proofErr w:type="spellStart"/>
            <w:r w:rsidRPr="00864FD3">
              <w:rPr>
                <w:rFonts w:eastAsia="Arial"/>
                <w:shd w:val="clear" w:color="auto" w:fill="FFFFFF"/>
                <w:lang w:eastAsia="ar-SA"/>
              </w:rPr>
              <w:t>шт</w:t>
            </w:r>
            <w:proofErr w:type="spellEnd"/>
            <w:r w:rsidRPr="00864FD3">
              <w:rPr>
                <w:rFonts w:eastAsia="Arial"/>
                <w:shd w:val="clear" w:color="auto" w:fill="FFFFFF"/>
                <w:lang w:eastAsia="ar-SA"/>
              </w:rPr>
              <w:t>/</w:t>
            </w:r>
            <w:proofErr w:type="spellStart"/>
            <w:r w:rsidRPr="00864FD3">
              <w:rPr>
                <w:rFonts w:eastAsia="Arial"/>
                <w:shd w:val="clear" w:color="auto" w:fill="FFFFFF"/>
                <w:lang w:eastAsia="ar-SA"/>
              </w:rPr>
              <w:t>уп</w:t>
            </w:r>
            <w:proofErr w:type="spellEnd"/>
            <w:r w:rsidRPr="00864FD3">
              <w:rPr>
                <w:rFonts w:eastAsia="Arial"/>
                <w:shd w:val="clear" w:color="auto" w:fill="FFFFFF"/>
                <w:lang w:eastAsia="ar-SA"/>
              </w:rPr>
              <w:t xml:space="preserve">, НК 024:2023 ― 53316 </w:t>
            </w:r>
            <w:proofErr w:type="spellStart"/>
            <w:r w:rsidRPr="00864FD3">
              <w:rPr>
                <w:rFonts w:eastAsia="Arial"/>
                <w:shd w:val="clear" w:color="auto" w:fill="FFFFFF"/>
                <w:lang w:eastAsia="ar-SA"/>
              </w:rPr>
              <w:t>Глікований</w:t>
            </w:r>
            <w:proofErr w:type="spellEnd"/>
            <w:r w:rsidRPr="00864FD3">
              <w:rPr>
                <w:rFonts w:eastAsia="Arial"/>
                <w:shd w:val="clear" w:color="auto" w:fill="FFFFFF"/>
                <w:lang w:eastAsia="ar-SA"/>
              </w:rPr>
              <w:t xml:space="preserve"> гемоглобін (HbA1c)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реагент;</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12. IF1024 Експрес-тест TSH </w:t>
            </w:r>
            <w:proofErr w:type="spellStart"/>
            <w:r w:rsidRPr="00864FD3">
              <w:rPr>
                <w:rFonts w:eastAsia="Arial"/>
                <w:shd w:val="clear" w:color="auto" w:fill="FFFFFF"/>
                <w:lang w:eastAsia="ar-SA"/>
              </w:rPr>
              <w:t>Fast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Test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Kit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Immunofluorescence</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Assay</w:t>
            </w:r>
            <w:proofErr w:type="spellEnd"/>
            <w:r w:rsidRPr="00864FD3">
              <w:rPr>
                <w:rFonts w:eastAsia="Arial"/>
                <w:shd w:val="clear" w:color="auto" w:fill="FFFFFF"/>
                <w:lang w:eastAsia="ar-SA"/>
              </w:rPr>
              <w:t xml:space="preserve">), НК 024:2023 ― 54384 </w:t>
            </w:r>
            <w:proofErr w:type="spellStart"/>
            <w:r w:rsidRPr="00864FD3">
              <w:rPr>
                <w:rFonts w:eastAsia="Arial"/>
                <w:shd w:val="clear" w:color="auto" w:fill="FFFFFF"/>
                <w:lang w:eastAsia="ar-SA"/>
              </w:rPr>
              <w:t>Тиреоїдний</w:t>
            </w:r>
            <w:proofErr w:type="spellEnd"/>
            <w:r w:rsidRPr="00864FD3">
              <w:rPr>
                <w:rFonts w:eastAsia="Arial"/>
                <w:shd w:val="clear" w:color="auto" w:fill="FFFFFF"/>
                <w:lang w:eastAsia="ar-SA"/>
              </w:rPr>
              <w:t xml:space="preserve"> гормон (ТТГ)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xml:space="preserve">), набір, </w:t>
            </w:r>
            <w:proofErr w:type="spellStart"/>
            <w:r w:rsidRPr="00864FD3">
              <w:rPr>
                <w:rFonts w:eastAsia="Arial"/>
                <w:shd w:val="clear" w:color="auto" w:fill="FFFFFF"/>
                <w:lang w:eastAsia="ar-SA"/>
              </w:rPr>
              <w:t>імунофлюоресцентний</w:t>
            </w:r>
            <w:proofErr w:type="spellEnd"/>
            <w:r w:rsidRPr="00864FD3">
              <w:rPr>
                <w:rFonts w:eastAsia="Arial"/>
                <w:shd w:val="clear" w:color="auto" w:fill="FFFFFF"/>
                <w:lang w:eastAsia="ar-SA"/>
              </w:rPr>
              <w:t xml:space="preserve"> аналіз;</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13. IF1022 Експрес-тест T3 </w:t>
            </w:r>
            <w:proofErr w:type="spellStart"/>
            <w:r w:rsidRPr="00864FD3">
              <w:rPr>
                <w:rFonts w:eastAsia="Arial"/>
                <w:shd w:val="clear" w:color="auto" w:fill="FFFFFF"/>
                <w:lang w:eastAsia="ar-SA"/>
              </w:rPr>
              <w:t>Fast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Test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Kit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Immunofluorescence</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Assay</w:t>
            </w:r>
            <w:proofErr w:type="spellEnd"/>
            <w:r w:rsidRPr="00864FD3">
              <w:rPr>
                <w:rFonts w:eastAsia="Arial"/>
                <w:shd w:val="clear" w:color="auto" w:fill="FFFFFF"/>
                <w:lang w:eastAsia="ar-SA"/>
              </w:rPr>
              <w:t xml:space="preserve">), НК 024:2023 ― 54419 Вільний </w:t>
            </w:r>
            <w:proofErr w:type="spellStart"/>
            <w:r w:rsidRPr="00864FD3">
              <w:rPr>
                <w:rFonts w:eastAsia="Arial"/>
                <w:shd w:val="clear" w:color="auto" w:fill="FFFFFF"/>
                <w:lang w:eastAsia="ar-SA"/>
              </w:rPr>
              <w:t>трийодтиронін</w:t>
            </w:r>
            <w:proofErr w:type="spellEnd"/>
            <w:r w:rsidRPr="00864FD3">
              <w:rPr>
                <w:rFonts w:eastAsia="Arial"/>
                <w:shd w:val="clear" w:color="auto" w:fill="FFFFFF"/>
                <w:lang w:eastAsia="ar-SA"/>
              </w:rPr>
              <w:t xml:space="preserve">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реагент;</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14. IF1023 Експрес-тест T4 </w:t>
            </w:r>
            <w:proofErr w:type="spellStart"/>
            <w:r w:rsidRPr="00864FD3">
              <w:rPr>
                <w:rFonts w:eastAsia="Arial"/>
                <w:shd w:val="clear" w:color="auto" w:fill="FFFFFF"/>
                <w:lang w:eastAsia="ar-SA"/>
              </w:rPr>
              <w:t>Fast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Test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Kit</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Immunofluorescence</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Assay</w:t>
            </w:r>
            <w:proofErr w:type="spellEnd"/>
            <w:r w:rsidRPr="00864FD3">
              <w:rPr>
                <w:rFonts w:eastAsia="Arial"/>
                <w:shd w:val="clear" w:color="auto" w:fill="FFFFFF"/>
                <w:lang w:eastAsia="ar-SA"/>
              </w:rPr>
              <w:t xml:space="preserve">), НК 024:2023 ― 54414 Вільний тироксин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реагент;</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lastRenderedPageBreak/>
              <w:t xml:space="preserve">15. Фарбник по </w:t>
            </w:r>
            <w:proofErr w:type="spellStart"/>
            <w:r w:rsidRPr="00864FD3">
              <w:rPr>
                <w:rFonts w:eastAsia="Arial"/>
                <w:shd w:val="clear" w:color="auto" w:fill="FFFFFF"/>
                <w:lang w:eastAsia="ar-SA"/>
              </w:rPr>
              <w:t>Романовському</w:t>
            </w:r>
            <w:proofErr w:type="spellEnd"/>
            <w:r w:rsidRPr="00864FD3">
              <w:rPr>
                <w:rFonts w:eastAsia="Arial"/>
                <w:shd w:val="clear" w:color="auto" w:fill="FFFFFF"/>
                <w:lang w:eastAsia="ar-SA"/>
              </w:rPr>
              <w:t xml:space="preserve">, НК 024:2023 ― 44946 Фарбування за </w:t>
            </w:r>
            <w:proofErr w:type="spellStart"/>
            <w:r w:rsidRPr="00864FD3">
              <w:rPr>
                <w:rFonts w:eastAsia="Arial"/>
                <w:shd w:val="clear" w:color="auto" w:fill="FFFFFF"/>
                <w:lang w:eastAsia="ar-SA"/>
              </w:rPr>
              <w:t>Романовським</w:t>
            </w:r>
            <w:proofErr w:type="spellEnd"/>
            <w:r w:rsidRPr="00864FD3">
              <w:rPr>
                <w:rFonts w:eastAsia="Arial"/>
                <w:shd w:val="clear" w:color="auto" w:fill="FFFFFF"/>
                <w:lang w:eastAsia="ar-SA"/>
              </w:rPr>
              <w:t xml:space="preserve">,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набір;</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16. </w:t>
            </w:r>
            <w:proofErr w:type="spellStart"/>
            <w:r w:rsidRPr="00864FD3">
              <w:rPr>
                <w:rFonts w:eastAsia="Arial"/>
                <w:shd w:val="clear" w:color="auto" w:fill="FFFFFF"/>
                <w:lang w:eastAsia="ar-SA"/>
              </w:rPr>
              <w:t>Тромбопластин</w:t>
            </w:r>
            <w:proofErr w:type="spellEnd"/>
            <w:r w:rsidRPr="00864FD3">
              <w:rPr>
                <w:rFonts w:eastAsia="Arial"/>
                <w:shd w:val="clear" w:color="auto" w:fill="FFFFFF"/>
                <w:lang w:eastAsia="ar-SA"/>
              </w:rPr>
              <w:t xml:space="preserve"> 003.04, НК 024:2023 ― 55988 </w:t>
            </w:r>
            <w:proofErr w:type="spellStart"/>
            <w:r w:rsidRPr="00864FD3">
              <w:rPr>
                <w:rFonts w:eastAsia="Arial"/>
                <w:shd w:val="clear" w:color="auto" w:fill="FFFFFF"/>
                <w:lang w:eastAsia="ar-SA"/>
              </w:rPr>
              <w:t>Тромбіновий</w:t>
            </w:r>
            <w:proofErr w:type="spellEnd"/>
            <w:r w:rsidRPr="00864FD3">
              <w:rPr>
                <w:rFonts w:eastAsia="Arial"/>
                <w:shd w:val="clear" w:color="auto" w:fill="FFFFFF"/>
                <w:lang w:eastAsia="ar-SA"/>
              </w:rPr>
              <w:t xml:space="preserve"> час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реагент;</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17. Діагностичний </w:t>
            </w:r>
            <w:proofErr w:type="spellStart"/>
            <w:r w:rsidRPr="00864FD3">
              <w:rPr>
                <w:rFonts w:eastAsia="Arial"/>
                <w:shd w:val="clear" w:color="auto" w:fill="FFFFFF"/>
                <w:lang w:eastAsia="ar-SA"/>
              </w:rPr>
              <w:t>моноклональний</w:t>
            </w:r>
            <w:proofErr w:type="spellEnd"/>
            <w:r w:rsidRPr="00864FD3">
              <w:rPr>
                <w:rFonts w:eastAsia="Arial"/>
                <w:shd w:val="clear" w:color="auto" w:fill="FFFFFF"/>
                <w:lang w:eastAsia="ar-SA"/>
              </w:rPr>
              <w:t xml:space="preserve"> реагент анти-А для визначення групи крові людини за системою АВ0, 1 флакон / 10мл, НК 024:2023 ― </w:t>
            </w:r>
            <w:r w:rsidR="00D859E4" w:rsidRPr="00463CCA">
              <w:rPr>
                <w:color w:val="000000"/>
              </w:rPr>
              <w:t xml:space="preserve">52532 </w:t>
            </w:r>
            <w:r w:rsidR="00D859E4" w:rsidRPr="0029111F">
              <w:rPr>
                <w:color w:val="000000"/>
              </w:rPr>
              <w:t xml:space="preserve">Анти-A групове </w:t>
            </w:r>
            <w:proofErr w:type="spellStart"/>
            <w:r w:rsidR="00D859E4" w:rsidRPr="0029111F">
              <w:rPr>
                <w:color w:val="000000"/>
              </w:rPr>
              <w:t>типування</w:t>
            </w:r>
            <w:proofErr w:type="spellEnd"/>
            <w:r w:rsidR="00D859E4" w:rsidRPr="0029111F">
              <w:rPr>
                <w:color w:val="000000"/>
              </w:rPr>
              <w:t xml:space="preserve"> еритроцитів IVD (діагностика </w:t>
            </w:r>
            <w:proofErr w:type="spellStart"/>
            <w:r w:rsidR="00D859E4" w:rsidRPr="0029111F">
              <w:rPr>
                <w:color w:val="000000"/>
              </w:rPr>
              <w:t>in</w:t>
            </w:r>
            <w:proofErr w:type="spellEnd"/>
            <w:r w:rsidR="00D859E4" w:rsidRPr="0029111F">
              <w:rPr>
                <w:color w:val="000000"/>
              </w:rPr>
              <w:t xml:space="preserve"> </w:t>
            </w:r>
            <w:proofErr w:type="spellStart"/>
            <w:r w:rsidR="00D859E4" w:rsidRPr="0029111F">
              <w:rPr>
                <w:color w:val="000000"/>
              </w:rPr>
              <w:t>vitro</w:t>
            </w:r>
            <w:proofErr w:type="spellEnd"/>
            <w:r w:rsidR="00D859E4" w:rsidRPr="0029111F">
              <w:rPr>
                <w:color w:val="000000"/>
              </w:rPr>
              <w:t>), антитіла</w:t>
            </w:r>
            <w:r w:rsidRPr="00864FD3">
              <w:rPr>
                <w:rFonts w:eastAsia="Arial"/>
                <w:shd w:val="clear" w:color="auto" w:fill="FFFFFF"/>
                <w:lang w:eastAsia="ar-SA"/>
              </w:rPr>
              <w:t>;</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18. Діагностичний </w:t>
            </w:r>
            <w:proofErr w:type="spellStart"/>
            <w:r w:rsidRPr="00864FD3">
              <w:rPr>
                <w:rFonts w:eastAsia="Arial"/>
                <w:shd w:val="clear" w:color="auto" w:fill="FFFFFF"/>
                <w:lang w:eastAsia="ar-SA"/>
              </w:rPr>
              <w:t>моноклональний</w:t>
            </w:r>
            <w:proofErr w:type="spellEnd"/>
            <w:r w:rsidRPr="00864FD3">
              <w:rPr>
                <w:rFonts w:eastAsia="Arial"/>
                <w:shd w:val="clear" w:color="auto" w:fill="FFFFFF"/>
                <w:lang w:eastAsia="ar-SA"/>
              </w:rPr>
              <w:t xml:space="preserve"> реагент анти-В для визначення групи крові людини за системою АВ0, 1 флакон/10 мл, НК 024:2023 ― </w:t>
            </w:r>
            <w:r w:rsidR="00D859E4" w:rsidRPr="00463CCA">
              <w:rPr>
                <w:color w:val="000000"/>
              </w:rPr>
              <w:t xml:space="preserve">52538 </w:t>
            </w:r>
            <w:r w:rsidR="00D859E4" w:rsidRPr="00495145">
              <w:rPr>
                <w:color w:val="000000"/>
              </w:rPr>
              <w:t xml:space="preserve">Анти-B групове </w:t>
            </w:r>
            <w:proofErr w:type="spellStart"/>
            <w:r w:rsidR="00D859E4" w:rsidRPr="00495145">
              <w:rPr>
                <w:color w:val="000000"/>
              </w:rPr>
              <w:t>типування</w:t>
            </w:r>
            <w:proofErr w:type="spellEnd"/>
            <w:r w:rsidR="00D859E4" w:rsidRPr="00495145">
              <w:rPr>
                <w:color w:val="000000"/>
              </w:rPr>
              <w:t xml:space="preserve"> еритроцитів IVD (діагностика </w:t>
            </w:r>
            <w:proofErr w:type="spellStart"/>
            <w:r w:rsidR="00D859E4" w:rsidRPr="00495145">
              <w:rPr>
                <w:color w:val="000000"/>
              </w:rPr>
              <w:t>in</w:t>
            </w:r>
            <w:proofErr w:type="spellEnd"/>
            <w:r w:rsidR="00D859E4" w:rsidRPr="00495145">
              <w:rPr>
                <w:color w:val="000000"/>
              </w:rPr>
              <w:t xml:space="preserve"> </w:t>
            </w:r>
            <w:proofErr w:type="spellStart"/>
            <w:r w:rsidR="00D859E4" w:rsidRPr="00495145">
              <w:rPr>
                <w:color w:val="000000"/>
              </w:rPr>
              <w:t>vitro</w:t>
            </w:r>
            <w:proofErr w:type="spellEnd"/>
            <w:r w:rsidR="00D859E4" w:rsidRPr="00495145">
              <w:rPr>
                <w:color w:val="000000"/>
              </w:rPr>
              <w:t>), антитіла</w:t>
            </w:r>
            <w:r w:rsidRPr="00864FD3">
              <w:rPr>
                <w:rFonts w:eastAsia="Arial"/>
                <w:shd w:val="clear" w:color="auto" w:fill="FFFFFF"/>
                <w:lang w:eastAsia="ar-SA"/>
              </w:rPr>
              <w:t>;</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19. Діагностичний </w:t>
            </w:r>
            <w:proofErr w:type="spellStart"/>
            <w:r w:rsidRPr="00864FD3">
              <w:rPr>
                <w:rFonts w:eastAsia="Arial"/>
                <w:shd w:val="clear" w:color="auto" w:fill="FFFFFF"/>
                <w:lang w:eastAsia="ar-SA"/>
              </w:rPr>
              <w:t>моноклональний</w:t>
            </w:r>
            <w:proofErr w:type="spellEnd"/>
            <w:r w:rsidRPr="00864FD3">
              <w:rPr>
                <w:rFonts w:eastAsia="Arial"/>
                <w:shd w:val="clear" w:color="auto" w:fill="FFFFFF"/>
                <w:lang w:eastAsia="ar-SA"/>
              </w:rPr>
              <w:t xml:space="preserve"> реагент анти-D для визначення групи крові людини за системою </w:t>
            </w:r>
            <w:proofErr w:type="spellStart"/>
            <w:r w:rsidRPr="00864FD3">
              <w:rPr>
                <w:rFonts w:eastAsia="Arial"/>
                <w:shd w:val="clear" w:color="auto" w:fill="FFFFFF"/>
                <w:lang w:eastAsia="ar-SA"/>
              </w:rPr>
              <w:t>Rhesus</w:t>
            </w:r>
            <w:proofErr w:type="spellEnd"/>
            <w:r w:rsidRPr="00864FD3">
              <w:rPr>
                <w:rFonts w:eastAsia="Arial"/>
                <w:shd w:val="clear" w:color="auto" w:fill="FFFFFF"/>
                <w:lang w:eastAsia="ar-SA"/>
              </w:rPr>
              <w:t xml:space="preserve">, 1 флакон / 10мл, НК 024:2023 ― </w:t>
            </w:r>
            <w:r w:rsidR="00D859E4" w:rsidRPr="00463CCA">
              <w:rPr>
                <w:color w:val="000000"/>
              </w:rPr>
              <w:t xml:space="preserve">52647 </w:t>
            </w:r>
            <w:r w:rsidR="00D859E4" w:rsidRPr="00495145">
              <w:rPr>
                <w:color w:val="000000"/>
              </w:rPr>
              <w:t>Анти-</w:t>
            </w:r>
            <w:proofErr w:type="spellStart"/>
            <w:r w:rsidR="00D859E4" w:rsidRPr="00495145">
              <w:rPr>
                <w:color w:val="000000"/>
              </w:rPr>
              <w:t>Rh</w:t>
            </w:r>
            <w:proofErr w:type="spellEnd"/>
            <w:r w:rsidR="00D859E4" w:rsidRPr="00495145">
              <w:rPr>
                <w:color w:val="000000"/>
              </w:rPr>
              <w:t xml:space="preserve">(D) групове </w:t>
            </w:r>
            <w:proofErr w:type="spellStart"/>
            <w:r w:rsidR="00D859E4" w:rsidRPr="00495145">
              <w:rPr>
                <w:color w:val="000000"/>
              </w:rPr>
              <w:t>типування</w:t>
            </w:r>
            <w:proofErr w:type="spellEnd"/>
            <w:r w:rsidR="00D859E4" w:rsidRPr="00495145">
              <w:rPr>
                <w:color w:val="000000"/>
              </w:rPr>
              <w:t xml:space="preserve"> еритроцитів IVD (діагностика </w:t>
            </w:r>
            <w:proofErr w:type="spellStart"/>
            <w:r w:rsidR="00D859E4" w:rsidRPr="00495145">
              <w:rPr>
                <w:color w:val="000000"/>
              </w:rPr>
              <w:t>in</w:t>
            </w:r>
            <w:proofErr w:type="spellEnd"/>
            <w:r w:rsidR="00D859E4" w:rsidRPr="00495145">
              <w:rPr>
                <w:color w:val="000000"/>
              </w:rPr>
              <w:t xml:space="preserve"> </w:t>
            </w:r>
            <w:proofErr w:type="spellStart"/>
            <w:r w:rsidR="00D859E4" w:rsidRPr="00495145">
              <w:rPr>
                <w:color w:val="000000"/>
              </w:rPr>
              <w:t>vitro</w:t>
            </w:r>
            <w:proofErr w:type="spellEnd"/>
            <w:r w:rsidR="00D859E4" w:rsidRPr="00495145">
              <w:rPr>
                <w:color w:val="000000"/>
              </w:rPr>
              <w:t>), антитіла</w:t>
            </w:r>
            <w:r w:rsidRPr="00864FD3">
              <w:rPr>
                <w:rFonts w:eastAsia="Arial"/>
                <w:shd w:val="clear" w:color="auto" w:fill="FFFFFF"/>
                <w:lang w:eastAsia="ar-SA"/>
              </w:rPr>
              <w:t>;</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20. Діагностичний </w:t>
            </w:r>
            <w:proofErr w:type="spellStart"/>
            <w:r w:rsidRPr="00864FD3">
              <w:rPr>
                <w:rFonts w:eastAsia="Arial"/>
                <w:shd w:val="clear" w:color="auto" w:fill="FFFFFF"/>
                <w:lang w:eastAsia="ar-SA"/>
              </w:rPr>
              <w:t>моноклональний</w:t>
            </w:r>
            <w:proofErr w:type="spellEnd"/>
            <w:r w:rsidRPr="00864FD3">
              <w:rPr>
                <w:rFonts w:eastAsia="Arial"/>
                <w:shd w:val="clear" w:color="auto" w:fill="FFFFFF"/>
                <w:lang w:eastAsia="ar-SA"/>
              </w:rPr>
              <w:t xml:space="preserve"> реагент анти-АВ для визначення групи крові людини за системою АВ0, 1 флакон / 10мл, НК 024:2023 ― </w:t>
            </w:r>
            <w:r w:rsidR="00D859E4" w:rsidRPr="009E22AE">
              <w:rPr>
                <w:color w:val="000000"/>
              </w:rPr>
              <w:t xml:space="preserve">46442 Анти-АВ групове </w:t>
            </w:r>
            <w:proofErr w:type="spellStart"/>
            <w:r w:rsidR="00D859E4" w:rsidRPr="009E22AE">
              <w:rPr>
                <w:color w:val="000000"/>
              </w:rPr>
              <w:t>типування</w:t>
            </w:r>
            <w:proofErr w:type="spellEnd"/>
            <w:r w:rsidR="00D859E4" w:rsidRPr="009E22AE">
              <w:rPr>
                <w:color w:val="000000"/>
              </w:rPr>
              <w:t xml:space="preserve"> еритроцитів </w:t>
            </w:r>
            <w:r w:rsidR="00D859E4" w:rsidRPr="009E22AE">
              <w:rPr>
                <w:color w:val="000000"/>
                <w:lang w:val="ru-RU"/>
              </w:rPr>
              <w:t>IVD</w:t>
            </w:r>
            <w:r w:rsidR="00D859E4" w:rsidRPr="009E22AE">
              <w:rPr>
                <w:color w:val="000000"/>
              </w:rPr>
              <w:t xml:space="preserve"> (діагностика </w:t>
            </w:r>
            <w:proofErr w:type="spellStart"/>
            <w:r w:rsidR="00D859E4" w:rsidRPr="009E22AE">
              <w:rPr>
                <w:color w:val="000000"/>
                <w:lang w:val="ru-RU"/>
              </w:rPr>
              <w:t>in</w:t>
            </w:r>
            <w:proofErr w:type="spellEnd"/>
            <w:r w:rsidR="00D859E4" w:rsidRPr="009E22AE">
              <w:rPr>
                <w:color w:val="000000"/>
              </w:rPr>
              <w:t xml:space="preserve"> </w:t>
            </w:r>
            <w:proofErr w:type="spellStart"/>
            <w:r w:rsidR="00D859E4" w:rsidRPr="009E22AE">
              <w:rPr>
                <w:color w:val="000000"/>
                <w:lang w:val="ru-RU"/>
              </w:rPr>
              <w:t>vitro</w:t>
            </w:r>
            <w:proofErr w:type="spellEnd"/>
            <w:r w:rsidR="00D859E4" w:rsidRPr="009E22AE">
              <w:rPr>
                <w:color w:val="000000"/>
              </w:rPr>
              <w:t>), антитіла</w:t>
            </w:r>
            <w:r w:rsidRPr="00864FD3">
              <w:rPr>
                <w:rFonts w:eastAsia="Arial"/>
                <w:shd w:val="clear" w:color="auto" w:fill="FFFFFF"/>
                <w:lang w:eastAsia="ar-SA"/>
              </w:rPr>
              <w:t>;</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21. Набір №1-20: 20% суспензія стандартних еритроцитів групи 0 </w:t>
            </w:r>
            <w:proofErr w:type="spellStart"/>
            <w:r w:rsidRPr="00864FD3">
              <w:rPr>
                <w:rFonts w:eastAsia="Arial"/>
                <w:shd w:val="clear" w:color="auto" w:fill="FFFFFF"/>
                <w:lang w:eastAsia="ar-SA"/>
              </w:rPr>
              <w:t>Rh+поз.СeDEe</w:t>
            </w:r>
            <w:proofErr w:type="spellEnd"/>
            <w:r w:rsidRPr="00864FD3">
              <w:rPr>
                <w:rFonts w:eastAsia="Arial"/>
                <w:shd w:val="clear" w:color="auto" w:fill="FFFFFF"/>
                <w:lang w:eastAsia="ar-SA"/>
              </w:rPr>
              <w:t xml:space="preserve">; 0 </w:t>
            </w:r>
            <w:proofErr w:type="spellStart"/>
            <w:r w:rsidRPr="00864FD3">
              <w:rPr>
                <w:rFonts w:eastAsia="Arial"/>
                <w:shd w:val="clear" w:color="auto" w:fill="FFFFFF"/>
                <w:lang w:eastAsia="ar-SA"/>
              </w:rPr>
              <w:t>Rh-нег.ссdee</w:t>
            </w:r>
            <w:proofErr w:type="spellEnd"/>
            <w:r w:rsidRPr="00864FD3">
              <w:rPr>
                <w:rFonts w:eastAsia="Arial"/>
                <w:shd w:val="clear" w:color="auto" w:fill="FFFFFF"/>
                <w:lang w:eastAsia="ar-SA"/>
              </w:rPr>
              <w:t xml:space="preserve">; A1 </w:t>
            </w:r>
            <w:proofErr w:type="spellStart"/>
            <w:r w:rsidRPr="00864FD3">
              <w:rPr>
                <w:rFonts w:eastAsia="Arial"/>
                <w:shd w:val="clear" w:color="auto" w:fill="FFFFFF"/>
                <w:lang w:eastAsia="ar-SA"/>
              </w:rPr>
              <w:t>Rh+поз</w:t>
            </w:r>
            <w:proofErr w:type="spellEnd"/>
            <w:r w:rsidRPr="00864FD3">
              <w:rPr>
                <w:rFonts w:eastAsia="Arial"/>
                <w:shd w:val="clear" w:color="auto" w:fill="FFFFFF"/>
                <w:lang w:eastAsia="ar-SA"/>
              </w:rPr>
              <w:t xml:space="preserve">; B </w:t>
            </w:r>
            <w:proofErr w:type="spellStart"/>
            <w:r w:rsidRPr="00864FD3">
              <w:rPr>
                <w:rFonts w:eastAsia="Arial"/>
                <w:shd w:val="clear" w:color="auto" w:fill="FFFFFF"/>
                <w:lang w:eastAsia="ar-SA"/>
              </w:rPr>
              <w:t>Rh+поз</w:t>
            </w:r>
            <w:proofErr w:type="spellEnd"/>
            <w:r w:rsidRPr="00864FD3">
              <w:rPr>
                <w:rFonts w:eastAsia="Arial"/>
                <w:shd w:val="clear" w:color="auto" w:fill="FFFFFF"/>
                <w:lang w:eastAsia="ar-SA"/>
              </w:rPr>
              <w:t xml:space="preserve">, НК 024:2023 ― </w:t>
            </w:r>
            <w:r w:rsidR="00D859E4" w:rsidRPr="00463CCA">
              <w:rPr>
                <w:color w:val="000000"/>
              </w:rPr>
              <w:t xml:space="preserve">52543 </w:t>
            </w:r>
            <w:r w:rsidR="00D859E4" w:rsidRPr="000A7978">
              <w:rPr>
                <w:color w:val="000000"/>
              </w:rPr>
              <w:t xml:space="preserve">Панель еритроцитів для </w:t>
            </w:r>
            <w:proofErr w:type="spellStart"/>
            <w:r w:rsidR="00D859E4" w:rsidRPr="000A7978">
              <w:rPr>
                <w:color w:val="000000"/>
              </w:rPr>
              <w:t>ідентифікування</w:t>
            </w:r>
            <w:proofErr w:type="spellEnd"/>
            <w:r w:rsidR="00D859E4" w:rsidRPr="000A7978">
              <w:rPr>
                <w:color w:val="000000"/>
              </w:rPr>
              <w:t xml:space="preserve"> антитіл IVD (діагностика </w:t>
            </w:r>
            <w:proofErr w:type="spellStart"/>
            <w:r w:rsidR="00D859E4" w:rsidRPr="000A7978">
              <w:rPr>
                <w:color w:val="000000"/>
              </w:rPr>
              <w:t>in</w:t>
            </w:r>
            <w:proofErr w:type="spellEnd"/>
            <w:r w:rsidR="00D859E4" w:rsidRPr="000A7978">
              <w:rPr>
                <w:color w:val="000000"/>
              </w:rPr>
              <w:t xml:space="preserve"> </w:t>
            </w:r>
            <w:proofErr w:type="spellStart"/>
            <w:r w:rsidR="00D859E4" w:rsidRPr="000A7978">
              <w:rPr>
                <w:color w:val="000000"/>
              </w:rPr>
              <w:t>vitro</w:t>
            </w:r>
            <w:proofErr w:type="spellEnd"/>
            <w:r w:rsidR="00D859E4" w:rsidRPr="000A7978">
              <w:rPr>
                <w:color w:val="000000"/>
              </w:rPr>
              <w:t>), набір, реакція аглютинації</w:t>
            </w:r>
            <w:r w:rsidRPr="00864FD3">
              <w:rPr>
                <w:rFonts w:eastAsia="Arial"/>
                <w:shd w:val="clear" w:color="auto" w:fill="FFFFFF"/>
                <w:lang w:eastAsia="ar-SA"/>
              </w:rPr>
              <w:t>;</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22. Набір реагентів для РМП RPR-01, НК 024:2023 ― </w:t>
            </w:r>
            <w:r w:rsidR="00D859E4">
              <w:rPr>
                <w:rFonts w:eastAsia="Arial"/>
                <w:shd w:val="clear" w:color="auto" w:fill="FFFFFF"/>
                <w:lang w:eastAsia="ar-SA"/>
              </w:rPr>
              <w:t>5</w:t>
            </w:r>
            <w:r w:rsidRPr="00864FD3">
              <w:rPr>
                <w:rFonts w:eastAsia="Arial"/>
                <w:shd w:val="clear" w:color="auto" w:fill="FFFFFF"/>
                <w:lang w:eastAsia="ar-SA"/>
              </w:rPr>
              <w:t xml:space="preserve">4873 </w:t>
            </w:r>
            <w:proofErr w:type="spellStart"/>
            <w:r w:rsidRPr="00864FD3">
              <w:rPr>
                <w:rFonts w:eastAsia="Arial"/>
                <w:shd w:val="clear" w:color="auto" w:fill="FFFFFF"/>
                <w:lang w:eastAsia="ar-SA"/>
              </w:rPr>
              <w:t>Антикардіоліпін</w:t>
            </w:r>
            <w:proofErr w:type="spellEnd"/>
            <w:r w:rsidRPr="00864FD3">
              <w:rPr>
                <w:rFonts w:eastAsia="Arial"/>
                <w:shd w:val="clear" w:color="auto" w:fill="FFFFFF"/>
                <w:lang w:eastAsia="ar-SA"/>
              </w:rPr>
              <w:t xml:space="preserve">, антитіла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реагент;</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23. </w:t>
            </w:r>
            <w:proofErr w:type="spellStart"/>
            <w:r w:rsidRPr="00864FD3">
              <w:rPr>
                <w:rFonts w:eastAsia="Arial"/>
                <w:shd w:val="clear" w:color="auto" w:fill="FFFFFF"/>
                <w:lang w:eastAsia="ar-SA"/>
              </w:rPr>
              <w:t>Азопірамова</w:t>
            </w:r>
            <w:proofErr w:type="spellEnd"/>
            <w:r w:rsidRPr="00864FD3">
              <w:rPr>
                <w:rFonts w:eastAsia="Arial"/>
                <w:shd w:val="clear" w:color="auto" w:fill="FFFFFF"/>
                <w:lang w:eastAsia="ar-SA"/>
              </w:rPr>
              <w:t xml:space="preserve"> проба, НК 024:2023 ― 13732 Біологічний індикатор контролювання стерилізації;</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24. Желатину розчин 10%, НК 024:2023 ― 52738 Визначення резус фенотипу (</w:t>
            </w:r>
            <w:proofErr w:type="spellStart"/>
            <w:r w:rsidRPr="00864FD3">
              <w:rPr>
                <w:rFonts w:eastAsia="Arial"/>
                <w:shd w:val="clear" w:color="auto" w:fill="FFFFFF"/>
                <w:lang w:eastAsia="ar-SA"/>
              </w:rPr>
              <w:t>CcDEe</w:t>
            </w:r>
            <w:proofErr w:type="spellEnd"/>
            <w:r w:rsidRPr="00864FD3">
              <w:rPr>
                <w:rFonts w:eastAsia="Arial"/>
                <w:shd w:val="clear" w:color="auto" w:fill="FFFFFF"/>
                <w:lang w:eastAsia="ar-SA"/>
              </w:rPr>
              <w:t xml:space="preserve">) системи груп крові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набір, реакція аглютинації;</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25. CMC-W23M Комбінований тест для визначення </w:t>
            </w:r>
            <w:proofErr w:type="spellStart"/>
            <w:r w:rsidRPr="00864FD3">
              <w:rPr>
                <w:rFonts w:eastAsia="Arial"/>
                <w:shd w:val="clear" w:color="auto" w:fill="FFFFFF"/>
                <w:lang w:eastAsia="ar-SA"/>
              </w:rPr>
              <w:t>креатинкінази</w:t>
            </w:r>
            <w:proofErr w:type="spellEnd"/>
            <w:r w:rsidRPr="00864FD3">
              <w:rPr>
                <w:rFonts w:eastAsia="Arial"/>
                <w:shd w:val="clear" w:color="auto" w:fill="FFFFFF"/>
                <w:lang w:eastAsia="ar-SA"/>
              </w:rPr>
              <w:t xml:space="preserve"> МВ (КК-МВ), міоглобіну, </w:t>
            </w:r>
            <w:proofErr w:type="spellStart"/>
            <w:r w:rsidRPr="00864FD3">
              <w:rPr>
                <w:rFonts w:eastAsia="Arial"/>
                <w:shd w:val="clear" w:color="auto" w:fill="FFFFFF"/>
                <w:lang w:eastAsia="ar-SA"/>
              </w:rPr>
              <w:t>тропонін</w:t>
            </w:r>
            <w:r w:rsidR="00D859E4">
              <w:rPr>
                <w:rFonts w:eastAsia="Arial"/>
                <w:shd w:val="clear" w:color="auto" w:fill="FFFFFF"/>
                <w:lang w:eastAsia="ar-SA"/>
              </w:rPr>
              <w:t>у</w:t>
            </w:r>
            <w:proofErr w:type="spellEnd"/>
            <w:r w:rsidR="00D859E4">
              <w:rPr>
                <w:rFonts w:eastAsia="Arial"/>
                <w:shd w:val="clear" w:color="auto" w:fill="FFFFFF"/>
                <w:lang w:eastAsia="ar-SA"/>
              </w:rPr>
              <w:t xml:space="preserve"> І, комплект, НК 024:2023 ― 52</w:t>
            </w:r>
            <w:r w:rsidRPr="00864FD3">
              <w:rPr>
                <w:rFonts w:eastAsia="Arial"/>
                <w:shd w:val="clear" w:color="auto" w:fill="FFFFFF"/>
                <w:lang w:eastAsia="ar-SA"/>
              </w:rPr>
              <w:t>98</w:t>
            </w:r>
            <w:r w:rsidR="00D859E4">
              <w:rPr>
                <w:rFonts w:eastAsia="Arial"/>
                <w:shd w:val="clear" w:color="auto" w:fill="FFFFFF"/>
                <w:lang w:eastAsia="ar-SA"/>
              </w:rPr>
              <w:t>9</w:t>
            </w:r>
            <w:r w:rsidRPr="00864FD3">
              <w:rPr>
                <w:rFonts w:eastAsia="Arial"/>
                <w:shd w:val="clear" w:color="auto" w:fill="FFFFFF"/>
                <w:lang w:eastAsia="ar-SA"/>
              </w:rPr>
              <w:t xml:space="preserve"> Множинні ізоферменти </w:t>
            </w:r>
            <w:proofErr w:type="spellStart"/>
            <w:r w:rsidRPr="00864FD3">
              <w:rPr>
                <w:rFonts w:eastAsia="Arial"/>
                <w:shd w:val="clear" w:color="auto" w:fill="FFFFFF"/>
                <w:lang w:eastAsia="ar-SA"/>
              </w:rPr>
              <w:t>креатинкінази</w:t>
            </w:r>
            <w:proofErr w:type="spellEnd"/>
            <w:r w:rsidRPr="00864FD3">
              <w:rPr>
                <w:rFonts w:eastAsia="Arial"/>
                <w:shd w:val="clear" w:color="auto" w:fill="FFFFFF"/>
                <w:lang w:eastAsia="ar-SA"/>
              </w:rPr>
              <w:t xml:space="preserve">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реагент;</w:t>
            </w:r>
          </w:p>
          <w:p w:rsidR="00F8570A" w:rsidRPr="00864FD3" w:rsidRDefault="00F8570A" w:rsidP="00F8570A">
            <w:pPr>
              <w:rPr>
                <w:rFonts w:eastAsia="Arial"/>
                <w:shd w:val="clear" w:color="auto" w:fill="FFFFFF"/>
                <w:lang w:eastAsia="ar-SA"/>
              </w:rPr>
            </w:pPr>
            <w:r w:rsidRPr="00864FD3">
              <w:rPr>
                <w:rFonts w:eastAsia="Arial"/>
                <w:shd w:val="clear" w:color="auto" w:fill="FFFFFF"/>
                <w:lang w:eastAsia="ar-SA"/>
              </w:rPr>
              <w:t xml:space="preserve">26. W46-C4P Тест на виявлення серцевого </w:t>
            </w:r>
            <w:proofErr w:type="spellStart"/>
            <w:r w:rsidRPr="00864FD3">
              <w:rPr>
                <w:rFonts w:eastAsia="Arial"/>
                <w:shd w:val="clear" w:color="auto" w:fill="FFFFFF"/>
                <w:lang w:eastAsia="ar-SA"/>
              </w:rPr>
              <w:t>Тропоніну</w:t>
            </w:r>
            <w:proofErr w:type="spellEnd"/>
            <w:r w:rsidRPr="00864FD3">
              <w:rPr>
                <w:rFonts w:eastAsia="Arial"/>
                <w:shd w:val="clear" w:color="auto" w:fill="FFFFFF"/>
                <w:lang w:eastAsia="ar-SA"/>
              </w:rPr>
              <w:t xml:space="preserve"> І, 1 </w:t>
            </w:r>
            <w:proofErr w:type="spellStart"/>
            <w:r w:rsidRPr="00864FD3">
              <w:rPr>
                <w:rFonts w:eastAsia="Arial"/>
                <w:shd w:val="clear" w:color="auto" w:fill="FFFFFF"/>
                <w:lang w:eastAsia="ar-SA"/>
              </w:rPr>
              <w:t>нг</w:t>
            </w:r>
            <w:proofErr w:type="spellEnd"/>
            <w:r w:rsidRPr="00864FD3">
              <w:rPr>
                <w:rFonts w:eastAsia="Arial"/>
                <w:shd w:val="clear" w:color="auto" w:fill="FFFFFF"/>
                <w:lang w:eastAsia="ar-SA"/>
              </w:rPr>
              <w:t xml:space="preserve">/мл, комплект, НК 024:2023 ― 54001 </w:t>
            </w:r>
            <w:proofErr w:type="spellStart"/>
            <w:r w:rsidRPr="00864FD3">
              <w:rPr>
                <w:rFonts w:eastAsia="Arial"/>
                <w:shd w:val="clear" w:color="auto" w:fill="FFFFFF"/>
                <w:lang w:eastAsia="ar-SA"/>
              </w:rPr>
              <w:t>Тропонін</w:t>
            </w:r>
            <w:proofErr w:type="spellEnd"/>
            <w:r w:rsidRPr="00864FD3">
              <w:rPr>
                <w:rFonts w:eastAsia="Arial"/>
                <w:shd w:val="clear" w:color="auto" w:fill="FFFFFF"/>
                <w:lang w:eastAsia="ar-SA"/>
              </w:rPr>
              <w:t xml:space="preserve"> Т/</w:t>
            </w:r>
            <w:proofErr w:type="spellStart"/>
            <w:r w:rsidRPr="00864FD3">
              <w:rPr>
                <w:rFonts w:eastAsia="Arial"/>
                <w:shd w:val="clear" w:color="auto" w:fill="FFFFFF"/>
                <w:lang w:eastAsia="ar-SA"/>
              </w:rPr>
              <w:t>тропонін</w:t>
            </w:r>
            <w:proofErr w:type="spellEnd"/>
            <w:r w:rsidRPr="00864FD3">
              <w:rPr>
                <w:rFonts w:eastAsia="Arial"/>
                <w:shd w:val="clear" w:color="auto" w:fill="FFFFFF"/>
                <w:lang w:eastAsia="ar-SA"/>
              </w:rPr>
              <w:t xml:space="preserve"> І IVD (діагностика </w:t>
            </w:r>
            <w:proofErr w:type="spellStart"/>
            <w:r w:rsidRPr="00864FD3">
              <w:rPr>
                <w:rFonts w:eastAsia="Arial"/>
                <w:shd w:val="clear" w:color="auto" w:fill="FFFFFF"/>
                <w:lang w:eastAsia="ar-SA"/>
              </w:rPr>
              <w:t>in</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vitro</w:t>
            </w:r>
            <w:proofErr w:type="spellEnd"/>
            <w:r w:rsidRPr="00864FD3">
              <w:rPr>
                <w:rFonts w:eastAsia="Arial"/>
                <w:shd w:val="clear" w:color="auto" w:fill="FFFFFF"/>
                <w:lang w:eastAsia="ar-SA"/>
              </w:rPr>
              <w:t>), реагент;</w:t>
            </w:r>
          </w:p>
          <w:p w:rsidR="00A940AD" w:rsidRPr="00F8570A" w:rsidRDefault="00F8570A" w:rsidP="00F8570A">
            <w:pPr>
              <w:rPr>
                <w:rFonts w:eastAsia="Arial"/>
                <w:shd w:val="clear" w:color="auto" w:fill="FFFFFF"/>
                <w:lang w:eastAsia="ar-SA"/>
              </w:rPr>
            </w:pPr>
            <w:r w:rsidRPr="00864FD3">
              <w:rPr>
                <w:rFonts w:eastAsia="Arial"/>
                <w:shd w:val="clear" w:color="auto" w:fill="FFFFFF"/>
                <w:lang w:eastAsia="ar-SA"/>
              </w:rPr>
              <w:t xml:space="preserve">27. HP-W23 Тест для виявлення антитіл до </w:t>
            </w:r>
            <w:proofErr w:type="spellStart"/>
            <w:r w:rsidRPr="00864FD3">
              <w:rPr>
                <w:rFonts w:eastAsia="Arial"/>
                <w:shd w:val="clear" w:color="auto" w:fill="FFFFFF"/>
                <w:lang w:eastAsia="ar-SA"/>
              </w:rPr>
              <w:t>H.Pylori</w:t>
            </w:r>
            <w:proofErr w:type="spellEnd"/>
            <w:r w:rsidRPr="00864FD3">
              <w:rPr>
                <w:rFonts w:eastAsia="Arial"/>
                <w:shd w:val="clear" w:color="auto" w:fill="FFFFFF"/>
                <w:lang w:eastAsia="ar-SA"/>
              </w:rPr>
              <w:t xml:space="preserve">, комплект, НК 024:2023 ― 30825 Набір реагентів для визначення антигенів бактерії </w:t>
            </w:r>
            <w:proofErr w:type="spellStart"/>
            <w:r w:rsidRPr="00864FD3">
              <w:rPr>
                <w:rFonts w:eastAsia="Arial"/>
                <w:shd w:val="clear" w:color="auto" w:fill="FFFFFF"/>
                <w:lang w:eastAsia="ar-SA"/>
              </w:rPr>
              <w:t>Helicobacter</w:t>
            </w:r>
            <w:proofErr w:type="spellEnd"/>
            <w:r w:rsidRPr="00864FD3">
              <w:rPr>
                <w:rFonts w:eastAsia="Arial"/>
                <w:shd w:val="clear" w:color="auto" w:fill="FFFFFF"/>
                <w:lang w:eastAsia="ar-SA"/>
              </w:rPr>
              <w:t xml:space="preserve"> </w:t>
            </w:r>
            <w:proofErr w:type="spellStart"/>
            <w:r w:rsidRPr="00864FD3">
              <w:rPr>
                <w:rFonts w:eastAsia="Arial"/>
                <w:shd w:val="clear" w:color="auto" w:fill="FFFFFF"/>
                <w:lang w:eastAsia="ar-SA"/>
              </w:rPr>
              <w:t>pylori</w:t>
            </w:r>
            <w:proofErr w:type="spellEnd"/>
            <w:r w:rsidRPr="00864FD3">
              <w:rPr>
                <w:rFonts w:eastAsia="Arial"/>
                <w:shd w:val="clear" w:color="auto" w:fill="FFFFFF"/>
                <w:lang w:eastAsia="ar-SA"/>
              </w:rPr>
              <w:t>, експрес-тест.</w:t>
            </w:r>
            <w:bookmarkEnd w:id="0"/>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sidR="00530758">
              <w:rPr>
                <w:lang w:eastAsia="uk-UA"/>
              </w:rPr>
              <w:t xml:space="preserve"> </w:t>
            </w:r>
            <w:r w:rsidR="00F8570A">
              <w:rPr>
                <w:lang w:eastAsia="uk-UA"/>
              </w:rPr>
              <w:t>928</w:t>
            </w:r>
            <w:r>
              <w:rPr>
                <w:lang w:eastAsia="uk-UA"/>
              </w:rPr>
              <w:t xml:space="preserve"> </w:t>
            </w:r>
            <w:r w:rsidR="007B0799">
              <w:rPr>
                <w:lang w:eastAsia="uk-UA"/>
              </w:rPr>
              <w:t>одиниць</w:t>
            </w:r>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val="ru-RU"/>
              </w:rPr>
            </w:pPr>
            <w:r w:rsidRPr="00401950">
              <w:t xml:space="preserve">Строк </w:t>
            </w:r>
            <w:r>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573B27" w:rsidRDefault="00530758" w:rsidP="00662BE5">
            <w:pPr>
              <w:ind w:right="113"/>
              <w:rPr>
                <w:b/>
                <w:lang w:val="en-US"/>
              </w:rPr>
            </w:pPr>
            <w:r>
              <w:rPr>
                <w:b/>
              </w:rPr>
              <w:t>Д</w:t>
            </w:r>
            <w:r w:rsidR="00D978D2">
              <w:rPr>
                <w:b/>
              </w:rPr>
              <w:t xml:space="preserve">о </w:t>
            </w:r>
            <w:r>
              <w:rPr>
                <w:b/>
              </w:rPr>
              <w:t>31</w:t>
            </w:r>
            <w:r w:rsidR="00D978D2" w:rsidRPr="008965F0">
              <w:rPr>
                <w:b/>
              </w:rPr>
              <w:t>.</w:t>
            </w:r>
            <w:r w:rsidR="00662BE5">
              <w:rPr>
                <w:b/>
              </w:rPr>
              <w:t>12</w:t>
            </w:r>
            <w:r w:rsidR="00D978D2" w:rsidRPr="008965F0">
              <w:rPr>
                <w:b/>
              </w:rPr>
              <w:t>.20</w:t>
            </w:r>
            <w:r w:rsidR="00D978D2">
              <w:rPr>
                <w:b/>
                <w:lang w:val="ru-RU"/>
              </w:rPr>
              <w:t>2</w:t>
            </w:r>
            <w:r w:rsidR="00573B27">
              <w:rPr>
                <w:b/>
                <w:lang w:val="en-US"/>
              </w:rPr>
              <w:t>4</w:t>
            </w:r>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lastRenderedPageBreak/>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документи пропозиції та</w:t>
            </w:r>
            <w:r w:rsidRPr="00C37422">
              <w:rPr>
                <w:lang w:eastAsia="uk-UA"/>
              </w:rPr>
              <w:t xml:space="preserve"> вчиняти інші юридично значущі дії від імені учасника на підставі положень установчих документів </w:t>
            </w:r>
            <w:r w:rsidRPr="00335AC8">
              <w:rPr>
                <w:lang w:eastAsia="uk-UA"/>
              </w:rPr>
              <w:t>―</w:t>
            </w:r>
            <w:r w:rsidRPr="00C37422">
              <w:rPr>
                <w:lang w:eastAsia="uk-UA"/>
              </w:rPr>
              <w:t xml:space="preserve"> розпорядчий 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D978D2" w:rsidRDefault="00D978D2" w:rsidP="00D978D2">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Pr>
                <w:lang w:eastAsia="uk-UA"/>
              </w:rPr>
              <w:lastRenderedPageBreak/>
              <w:t xml:space="preserve">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72E18" w:rsidRPr="00401950" w:rsidRDefault="00372E18" w:rsidP="00573B27">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r w:rsidR="00573B27">
              <w:rPr>
                <w:lang w:eastAsia="uk-UA"/>
              </w:rPr>
              <w:t xml:space="preserve"> (не виключний перелік)</w:t>
            </w:r>
            <w:r>
              <w:rPr>
                <w:lang w:eastAsia="uk-UA"/>
              </w:rPr>
              <w:t>:</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xml:space="preserve">, та інформація про спосіб підтвердження відповідності учасників </w:t>
            </w:r>
            <w:r w:rsidRPr="00401950">
              <w:rPr>
                <w:b/>
                <w:bCs/>
                <w:lang w:eastAsia="uk-UA"/>
              </w:rPr>
              <w:lastRenderedPageBreak/>
              <w:t>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Pr>
                <w:lang w:eastAsia="uk-UA"/>
              </w:rPr>
              <w:lastRenderedPageBreak/>
              <w:t>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 предметом закупівлі є товар</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432F49" w:rsidRDefault="00432F49" w:rsidP="00372E18">
            <w:pPr>
              <w:rPr>
                <w:lang w:eastAsia="uk-UA"/>
              </w:rPr>
            </w:pPr>
            <w:r w:rsidRPr="00432F49">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32F49">
              <w:rPr>
                <w:lang w:eastAsia="uk-UA"/>
              </w:rPr>
              <w:t>бенефіціарним</w:t>
            </w:r>
            <w:proofErr w:type="spellEnd"/>
            <w:r w:rsidRPr="00432F49">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432F49" w:rsidRDefault="00432F49" w:rsidP="00432F49">
            <w:pPr>
              <w:rPr>
                <w:lang w:eastAsia="uk-UA"/>
              </w:rPr>
            </w:pPr>
            <w:r>
              <w:rPr>
                <w:lang w:eastAsia="uk-UA"/>
              </w:rPr>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432F49" w:rsidRDefault="00432F49" w:rsidP="00432F49">
            <w:pPr>
              <w:rPr>
                <w:lang w:eastAsia="uk-UA"/>
              </w:rPr>
            </w:pPr>
            <w:r w:rsidRPr="00335AC8">
              <w:rPr>
                <w:lang w:eastAsia="uk-UA"/>
              </w:rPr>
              <w:t>―</w:t>
            </w:r>
            <w:r>
              <w:rPr>
                <w:lang w:eastAsia="uk-UA"/>
              </w:rPr>
              <w:t xml:space="preserve"> паспорт громадянина колишнього СРСР зразка 1974 року з відміткою про постійну чи тимчасову прописку на території України або </w:t>
            </w:r>
            <w:proofErr w:type="spellStart"/>
            <w:r>
              <w:rPr>
                <w:lang w:eastAsia="uk-UA"/>
              </w:rPr>
              <w:t>зареєструваний</w:t>
            </w:r>
            <w:proofErr w:type="spellEnd"/>
            <w:r>
              <w:rPr>
                <w:lang w:eastAsia="uk-UA"/>
              </w:rPr>
              <w:t xml:space="preserve"> на території України свій національний паспорт</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посвідку на постійне чи тимчасове проживання на території України</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посвідчення біженця чи документ, що підтверджує надання притулку в Україні.</w:t>
            </w:r>
          </w:p>
          <w:p w:rsidR="00432F49" w:rsidRDefault="00432F49" w:rsidP="00432F49">
            <w:pPr>
              <w:rPr>
                <w:lang w:eastAsia="uk-UA"/>
              </w:rPr>
            </w:pPr>
            <w:r>
              <w:rPr>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w:t>
            </w:r>
            <w:r w:rsidRPr="00335AC8">
              <w:rPr>
                <w:lang w:eastAsia="uk-UA"/>
              </w:rPr>
              <w:t>―</w:t>
            </w:r>
            <w:r>
              <w:rPr>
                <w:lang w:eastAsia="uk-UA"/>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32F49" w:rsidRDefault="00432F49" w:rsidP="00432F49">
            <w:pPr>
              <w:rPr>
                <w:lang w:eastAsia="uk-UA"/>
              </w:rPr>
            </w:pPr>
            <w:r w:rsidRPr="00335AC8">
              <w:rPr>
                <w:lang w:eastAsia="uk-UA"/>
              </w:rPr>
              <w:t>―</w:t>
            </w:r>
            <w:r>
              <w:rPr>
                <w:lang w:eastAsia="uk-UA"/>
              </w:rPr>
              <w:t xml:space="preserve">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32F49" w:rsidRDefault="00432F49" w:rsidP="00432F49">
            <w:pPr>
              <w:rPr>
                <w:lang w:eastAsia="uk-UA"/>
              </w:rPr>
            </w:pPr>
            <w:r>
              <w:rPr>
                <w:lang w:eastAsia="uk-UA"/>
              </w:rPr>
              <w:lastRenderedPageBreak/>
              <w:t xml:space="preserve">або </w:t>
            </w:r>
          </w:p>
          <w:p w:rsidR="00432F49" w:rsidRDefault="00432F49" w:rsidP="00432F49">
            <w:pPr>
              <w:rPr>
                <w:lang w:eastAsia="uk-UA"/>
              </w:rPr>
            </w:pPr>
            <w:r w:rsidRPr="00335AC8">
              <w:rPr>
                <w:lang w:eastAsia="uk-UA"/>
              </w:rPr>
              <w:t>―</w:t>
            </w:r>
            <w:r>
              <w:rPr>
                <w:lang w:eastAsia="uk-UA"/>
              </w:rPr>
              <w:t xml:space="preserve"> згоду самого власника активів про передачу активів, підпис якої нотаріально завірений в установленому законодавством порядку.</w:t>
            </w:r>
          </w:p>
          <w:p w:rsidR="00432F49" w:rsidRDefault="00432F49" w:rsidP="00432F49">
            <w:pPr>
              <w:rPr>
                <w:lang w:eastAsia="uk-UA"/>
              </w:rPr>
            </w:pPr>
            <w:r>
              <w:rPr>
                <w:lang w:eastAsia="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32F49" w:rsidRDefault="00432F49" w:rsidP="00432F49">
            <w:pPr>
              <w:rPr>
                <w:lang w:eastAsia="uk-UA"/>
              </w:rPr>
            </w:pPr>
            <w:r>
              <w:rPr>
                <w:lang w:eastAsia="uk-UA"/>
              </w:rPr>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w:t>
            </w:r>
            <w:r w:rsidRPr="00335AC8">
              <w:rPr>
                <w:lang w:eastAsia="uk-UA"/>
              </w:rPr>
              <w:t>―</w:t>
            </w:r>
            <w:r>
              <w:rPr>
                <w:lang w:eastAsia="uk-UA"/>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абз.8 п.п.1 п.44 Особливостей.</w:t>
            </w:r>
          </w:p>
          <w:p w:rsidR="00432F49" w:rsidRDefault="00432F49" w:rsidP="00432F49">
            <w:pPr>
              <w:rPr>
                <w:lang w:eastAsia="uk-UA"/>
              </w:rPr>
            </w:pPr>
            <w:r>
              <w:rPr>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32F49" w:rsidRDefault="00432F49" w:rsidP="00432F49">
            <w:pPr>
              <w:rPr>
                <w:lang w:eastAsia="uk-UA"/>
              </w:rPr>
            </w:pPr>
            <w:r>
              <w:rPr>
                <w:lang w:eastAsia="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w:t>
            </w:r>
            <w:r w:rsidRPr="00335AC8">
              <w:rPr>
                <w:lang w:eastAsia="uk-UA"/>
              </w:rPr>
              <w:t>―</w:t>
            </w:r>
            <w:r>
              <w:rPr>
                <w:lang w:eastAsia="uk-UA"/>
              </w:rPr>
              <w:t xml:space="preserve"> для фізичних осіб-підприємців) не знаходиться на тимчасово окупованій території, в розумінні ст.13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w:t>
            </w:r>
            <w:r>
              <w:rPr>
                <w:lang w:eastAsia="uk-UA"/>
              </w:rPr>
              <w:lastRenderedPageBreak/>
              <w:t xml:space="preserve">підтвердження зміни податкової адреси на іншу територію України видане уповноваженим на це органом. </w:t>
            </w:r>
          </w:p>
          <w:p w:rsidR="00432F49" w:rsidRDefault="00432F49" w:rsidP="00432F49">
            <w:pPr>
              <w:rPr>
                <w:lang w:eastAsia="uk-UA"/>
              </w:rPr>
            </w:pPr>
            <w:r>
              <w:rPr>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32F49" w:rsidRDefault="00432F49" w:rsidP="00432F49">
            <w:pPr>
              <w:rPr>
                <w:lang w:eastAsia="uk-UA"/>
              </w:rPr>
            </w:pPr>
            <w:r>
              <w:rPr>
                <w:lang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п.п.2 п.44 Особливостей.</w:t>
            </w:r>
          </w:p>
          <w:p w:rsidR="00372E18" w:rsidRPr="00652C8F" w:rsidRDefault="00372E18" w:rsidP="00432F49">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Default="00372E18" w:rsidP="00372E18">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652C8F">
              <w:rPr>
                <w:lang w:eastAsia="uk-UA"/>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t>―</w:t>
            </w:r>
            <w:r>
              <w:rPr>
                <w:lang w:eastAsia="uk-UA"/>
              </w:rPr>
              <w:t xml:space="preserve"> </w:t>
            </w:r>
            <w:r w:rsidR="00676A43" w:rsidRPr="00676A43">
              <w:rPr>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76A43" w:rsidRPr="00676A43">
              <w:rPr>
                <w:lang w:eastAsia="uk-UA"/>
              </w:rPr>
              <w:t>бенефіціарним</w:t>
            </w:r>
            <w:proofErr w:type="spellEnd"/>
            <w:r w:rsidR="00676A43" w:rsidRPr="00676A43">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676A43">
              <w:rPr>
                <w:lang w:eastAsia="uk-UA"/>
              </w:rPr>
              <w:t>№</w:t>
            </w:r>
            <w:r w:rsidR="00676A43" w:rsidRPr="00676A43">
              <w:rPr>
                <w:lang w:eastAsia="uk-UA"/>
              </w:rPr>
              <w:t xml:space="preserve">1178 </w:t>
            </w:r>
            <w:r w:rsidR="00676A43">
              <w:rPr>
                <w:lang w:eastAsia="uk-UA"/>
              </w:rPr>
              <w:t>«</w:t>
            </w:r>
            <w:r w:rsidR="00676A43" w:rsidRPr="00676A43">
              <w:rPr>
                <w:lang w:eastAsia="uk-UA"/>
              </w:rPr>
              <w:t xml:space="preserve">Про затвердження особливостей здійснення публічних </w:t>
            </w:r>
            <w:proofErr w:type="spellStart"/>
            <w:r w:rsidR="00676A43" w:rsidRPr="00676A43">
              <w:rPr>
                <w:lang w:eastAsia="uk-UA"/>
              </w:rPr>
              <w:t>закупівель</w:t>
            </w:r>
            <w:proofErr w:type="spellEnd"/>
            <w:r w:rsidR="00676A43" w:rsidRPr="00676A43">
              <w:rPr>
                <w:lang w:eastAsia="uk-UA"/>
              </w:rPr>
              <w:t xml:space="preserve"> товарів, робіт і послуг для замовників, передбачених Законом України </w:t>
            </w:r>
            <w:r w:rsidR="00676A43">
              <w:rPr>
                <w:lang w:eastAsia="uk-UA"/>
              </w:rPr>
              <w:t>«</w:t>
            </w:r>
            <w:r w:rsidR="00676A43" w:rsidRPr="00676A43">
              <w:rPr>
                <w:lang w:eastAsia="uk-UA"/>
              </w:rPr>
              <w:t>Про публічні закупівлі</w:t>
            </w:r>
            <w:r w:rsidR="00676A43">
              <w:rPr>
                <w:lang w:eastAsia="uk-UA"/>
              </w:rPr>
              <w:t>»</w:t>
            </w:r>
            <w:r w:rsidR="00676A43" w:rsidRPr="00676A43">
              <w:rPr>
                <w:lang w:eastAsia="uk-UA"/>
              </w:rPr>
              <w:t>, на період дії правового режиму воєнного стану в Україні та протягом 90 днів з дня</w:t>
            </w:r>
            <w:r w:rsidR="00676A43">
              <w:rPr>
                <w:lang w:eastAsia="uk-UA"/>
              </w:rPr>
              <w:t xml:space="preserve"> його припинення або скасування»</w:t>
            </w:r>
            <w:r w:rsidR="00676A43" w:rsidRPr="00676A43">
              <w:rPr>
                <w:lang w:eastAsia="uk-UA"/>
              </w:rPr>
              <w:t xml:space="preserve"> (Офіц</w:t>
            </w:r>
            <w:r w:rsidR="00676A43">
              <w:rPr>
                <w:lang w:eastAsia="uk-UA"/>
              </w:rPr>
              <w:t>ійний вісник України, 2022 р., №</w:t>
            </w:r>
            <w:r w:rsidR="00676A43" w:rsidRPr="00676A43">
              <w:rPr>
                <w:lang w:eastAsia="uk-UA"/>
              </w:rPr>
              <w:t>84, ст. 5176)</w:t>
            </w:r>
            <w:r>
              <w:rPr>
                <w:lang w:eastAsia="uk-UA"/>
              </w:rPr>
              <w:t>.</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lastRenderedPageBreak/>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та в абз.14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lastRenderedPageBreak/>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еобхідно надати копію/копії договору(договорів) з</w:t>
      </w:r>
      <w:r>
        <w:rPr>
          <w:rFonts w:eastAsia="Calibri"/>
          <w:i/>
          <w:lang w:eastAsia="en-US"/>
        </w:rPr>
        <w:t xml:space="preserve"> усіма</w:t>
      </w:r>
      <w:r w:rsidRPr="00401950">
        <w:rPr>
          <w:rFonts w:eastAsia="Calibri"/>
          <w:i/>
          <w:lang w:eastAsia="en-US"/>
        </w:rPr>
        <w:t xml:space="preserve"> додатками </w:t>
      </w:r>
      <w:r>
        <w:rPr>
          <w:rFonts w:eastAsia="Calibri"/>
          <w:i/>
          <w:lang w:eastAsia="en-US"/>
        </w:rPr>
        <w:t xml:space="preserve">до нього </w:t>
      </w:r>
      <w:r w:rsidRPr="00401950">
        <w:rPr>
          <w:rFonts w:eastAsia="Calibri"/>
          <w:i/>
          <w:lang w:eastAsia="en-US"/>
        </w:rPr>
        <w:t>та всіма додатковими угодами (у разі їх підписання), а також</w:t>
      </w:r>
      <w:r>
        <w:rPr>
          <w:rFonts w:eastAsia="Calibri"/>
          <w:i/>
          <w:lang w:eastAsia="en-US"/>
        </w:rPr>
        <w:t xml:space="preserve"> копії</w:t>
      </w:r>
      <w:r w:rsidRPr="00401950">
        <w:rPr>
          <w:rFonts w:eastAsia="Calibri"/>
          <w:i/>
          <w:lang w:eastAsia="en-US"/>
        </w:rPr>
        <w:t xml:space="preserve"> документ</w:t>
      </w:r>
      <w:r>
        <w:rPr>
          <w:rFonts w:eastAsia="Calibri"/>
          <w:i/>
          <w:lang w:eastAsia="en-US"/>
        </w:rPr>
        <w:t>ів</w:t>
      </w:r>
      <w:r w:rsidRPr="00401950">
        <w:rPr>
          <w:rFonts w:eastAsia="Calibri"/>
          <w:i/>
          <w:lang w:eastAsia="en-US"/>
        </w:rPr>
        <w:t>, що підтверджують виконання договору</w:t>
      </w:r>
      <w:r>
        <w:rPr>
          <w:rFonts w:eastAsia="Calibri"/>
          <w:i/>
          <w:lang w:eastAsia="en-US"/>
        </w:rPr>
        <w:t xml:space="preserve"> в повному обсязі</w:t>
      </w:r>
      <w:r w:rsidRPr="00401950">
        <w:rPr>
          <w:rFonts w:eastAsia="Calibri"/>
          <w:i/>
          <w:lang w:eastAsia="en-US"/>
        </w:rPr>
        <w:t>.</w:t>
      </w: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lastRenderedPageBreak/>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676A43" w:rsidP="00123611">
            <w:pPr>
              <w:rPr>
                <w:sz w:val="16"/>
                <w:szCs w:val="16"/>
              </w:rPr>
            </w:pPr>
            <w:r w:rsidRPr="00676A43">
              <w:rPr>
                <w:sz w:val="16"/>
                <w:szCs w:val="16"/>
              </w:rPr>
              <w:t>Замовник перевіряє самостійно у реєстрі осіб, які вчинили корупційні та пов’язані з корупцією правопорушення за посиланням: https://corruptinfo.nazk.gov.ua/»</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крім випадку, коли активи такої особи в установленому законодавством порядку передані в 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w:t>
            </w:r>
            <w:proofErr w:type="spellStart"/>
            <w:r w:rsidR="00123611" w:rsidRPr="00123611">
              <w:rPr>
                <w:sz w:val="16"/>
                <w:szCs w:val="16"/>
              </w:rPr>
              <w:t>Особливсотей</w:t>
            </w:r>
            <w:proofErr w:type="spellEnd"/>
            <w:r w:rsidR="00123611" w:rsidRPr="00123611">
              <w:rPr>
                <w:sz w:val="16"/>
                <w:szCs w:val="16"/>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w:t>
      </w:r>
      <w:proofErr w:type="spellStart"/>
      <w:r w:rsidR="00513AD5" w:rsidRPr="00513AD5">
        <w:rPr>
          <w:sz w:val="18"/>
          <w:szCs w:val="18"/>
        </w:rPr>
        <w:t>цого</w:t>
      </w:r>
      <w:proofErr w:type="spellEnd"/>
      <w:r w:rsidR="00513AD5" w:rsidRPr="00513AD5">
        <w:rPr>
          <w:sz w:val="18"/>
          <w:szCs w:val="18"/>
        </w:rPr>
        <w:t xml:space="preserve"> пункту),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D859E4">
      <w:rPr>
        <w:rStyle w:val="ab"/>
        <w:noProof/>
        <w:color w:val="333333"/>
      </w:rPr>
      <w:t>4</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A2"/>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2FA5"/>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2F49"/>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0758"/>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B27"/>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2BE5"/>
    <w:rsid w:val="00663A47"/>
    <w:rsid w:val="006640BF"/>
    <w:rsid w:val="006647E6"/>
    <w:rsid w:val="00664F75"/>
    <w:rsid w:val="00666A40"/>
    <w:rsid w:val="00666A84"/>
    <w:rsid w:val="00667AD5"/>
    <w:rsid w:val="00673FD6"/>
    <w:rsid w:val="0067429E"/>
    <w:rsid w:val="00674DCC"/>
    <w:rsid w:val="00675C4C"/>
    <w:rsid w:val="00676933"/>
    <w:rsid w:val="00676A28"/>
    <w:rsid w:val="00676A43"/>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304E"/>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799"/>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98F"/>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57CF9"/>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0AD"/>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5716"/>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52CF"/>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59E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0A8"/>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41DF"/>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0A"/>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811E6"/>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2D2A-5A32-4806-89A4-16DF01D0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7577</Words>
  <Characters>52044</Characters>
  <Application>Microsoft Office Word</Application>
  <DocSecurity>0</DocSecurity>
  <Lines>433</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59502</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Болградська ЦРЛ</cp:lastModifiedBy>
  <cp:revision>16</cp:revision>
  <cp:lastPrinted>2024-03-11T17:28:00Z</cp:lastPrinted>
  <dcterms:created xsi:type="dcterms:W3CDTF">2023-12-07T17:00:00Z</dcterms:created>
  <dcterms:modified xsi:type="dcterms:W3CDTF">2024-03-12T16:54:00Z</dcterms:modified>
</cp:coreProperties>
</file>