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 1» Краматорської міської ради </w:t>
      </w:r>
      <w:r w:rsidRPr="005806AE">
        <w:rPr>
          <w:rFonts w:ascii="Times New Roman" w:hAnsi="Times New Roman" w:cs="Times New Roman"/>
          <w:sz w:val="24"/>
          <w:szCs w:val="24"/>
        </w:rPr>
        <w:t xml:space="preserve">(скорочене найменування – КНП «ЦПМСД № 1» КМР), далі – </w:t>
      </w:r>
      <w:r w:rsidRPr="00384CDB">
        <w:rPr>
          <w:rFonts w:ascii="Times New Roman" w:hAnsi="Times New Roman" w:cs="Times New Roman"/>
          <w:b/>
          <w:sz w:val="24"/>
          <w:szCs w:val="24"/>
        </w:rPr>
        <w:t>«</w:t>
      </w:r>
      <w:r>
        <w:rPr>
          <w:rFonts w:ascii="Times New Roman" w:hAnsi="Times New Roman" w:cs="Times New Roman"/>
          <w:b/>
          <w:sz w:val="24"/>
          <w:szCs w:val="24"/>
        </w:rPr>
        <w:t>Покупець</w:t>
      </w:r>
      <w:r w:rsidRPr="00384CDB">
        <w:rPr>
          <w:rFonts w:ascii="Times New Roman" w:hAnsi="Times New Roman" w:cs="Times New Roman"/>
          <w:b/>
          <w:sz w:val="24"/>
          <w:szCs w:val="24"/>
        </w:rPr>
        <w:t>»,</w:t>
      </w:r>
      <w:r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5806AE">
        <w:rPr>
          <w:rFonts w:ascii="Times New Roman" w:hAnsi="Times New Roman" w:cs="Times New Roman"/>
          <w:color w:val="000000" w:themeColor="text1"/>
          <w:sz w:val="24"/>
          <w:szCs w:val="24"/>
        </w:rPr>
        <w:t xml:space="preserve">», </w:t>
      </w:r>
      <w:r w:rsidRPr="005806AE">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806AE">
        <w:rPr>
          <w:rFonts w:ascii="Times New Roman" w:eastAsia="Times New Roman" w:hAnsi="Times New Roman" w:cs="Times New Roman"/>
          <w:color w:val="000000" w:themeColor="text1"/>
          <w:sz w:val="24"/>
          <w:szCs w:val="24"/>
        </w:rPr>
        <w:t>закупівель</w:t>
      </w:r>
      <w:proofErr w:type="spellEnd"/>
      <w:r w:rsidRPr="005806A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6742E7" w:rsidRDefault="006742E7" w:rsidP="00674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ДОГОВОРУ</w:t>
      </w:r>
    </w:p>
    <w:p w:rsidR="00DE5834" w:rsidRPr="00B94BBE" w:rsidRDefault="00DE5834" w:rsidP="00DE5834">
      <w:pPr>
        <w:spacing w:before="240"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r w:rsidR="00247457" w:rsidRPr="00247457">
        <w:rPr>
          <w:rFonts w:ascii="Times New Roman" w:hAnsi="Times New Roman" w:cs="Times New Roman"/>
          <w:b/>
          <w:sz w:val="24"/>
          <w:szCs w:val="24"/>
        </w:rPr>
        <w:t>Одноразовий тримач, нестерильний, поліпропілен, №100</w:t>
      </w:r>
      <w:r w:rsidR="00247457">
        <w:rPr>
          <w:rFonts w:ascii="Times New Roman" w:hAnsi="Times New Roman" w:cs="Times New Roman"/>
          <w:b/>
          <w:sz w:val="24"/>
          <w:szCs w:val="24"/>
        </w:rPr>
        <w:t xml:space="preserve"> </w:t>
      </w: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DE5834" w:rsidRPr="005036FA"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lastRenderedPageBreak/>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DE5834" w:rsidRPr="005036FA"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адресою Покупця. Поставка товару здійснюється партіями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1D1408">
        <w:rPr>
          <w:rFonts w:ascii="Times New Roman" w:hAnsi="Times New Roman" w:cs="Times New Roman"/>
          <w:b/>
          <w:sz w:val="24"/>
          <w:szCs w:val="24"/>
          <w:lang w:val="ru-RU"/>
        </w:rPr>
        <w:t xml:space="preserve">15 </w:t>
      </w:r>
      <w:proofErr w:type="spellStart"/>
      <w:r w:rsidR="001D1408">
        <w:rPr>
          <w:rFonts w:ascii="Times New Roman" w:hAnsi="Times New Roman" w:cs="Times New Roman"/>
          <w:b/>
          <w:sz w:val="24"/>
          <w:szCs w:val="24"/>
          <w:lang w:val="ru-RU"/>
        </w:rPr>
        <w:t>квітня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6.5. Постачальник зобов’язаний забезпечити поставку товарів у строки, встановлені цим Договором.</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DE5834" w:rsidRPr="005036FA"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DE5834" w:rsidRPr="005036FA"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31 грудня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lastRenderedPageBreak/>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Pr="005806AE"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4"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3B3A32" w:rsidRDefault="003B3A32" w:rsidP="00DE5834">
      <w:pPr>
        <w:jc w:val="both"/>
        <w:rPr>
          <w:rFonts w:ascii="Times New Roman" w:hAnsi="Times New Roman" w:cs="Times New Roman"/>
          <w:b/>
          <w:sz w:val="24"/>
          <w:szCs w:val="24"/>
        </w:rPr>
      </w:pPr>
    </w:p>
    <w:p w:rsidR="00DE5834" w:rsidRPr="005806AE" w:rsidRDefault="00DE5834" w:rsidP="00DE583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_________202</w:t>
      </w:r>
      <w:r w:rsidR="00250591">
        <w:rPr>
          <w:rFonts w:ascii="Times New Roman" w:hAnsi="Times New Roman" w:cs="Times New Roman"/>
          <w:sz w:val="24"/>
          <w:szCs w:val="24"/>
        </w:rPr>
        <w:t>4</w:t>
      </w:r>
      <w:bookmarkStart w:id="0" w:name="_GoBack"/>
      <w:bookmarkEnd w:id="0"/>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94"/>
        <w:gridCol w:w="708"/>
        <w:gridCol w:w="1275"/>
        <w:gridCol w:w="1120"/>
        <w:gridCol w:w="957"/>
      </w:tblGrid>
      <w:tr w:rsidR="00565123" w:rsidRPr="005806AE" w:rsidTr="00565123">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565123">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vanish/>
                <w:highlight w:val="yellow"/>
                <w:shd w:val="clear" w:color="auto" w:fill="FFFFFF"/>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2</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highlight w:val="yellow"/>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285"/>
        </w:trPr>
        <w:tc>
          <w:tcPr>
            <w:tcW w:w="710" w:type="dxa"/>
            <w:tcBorders>
              <w:top w:val="single" w:sz="4" w:space="0" w:color="auto"/>
              <w:left w:val="nil"/>
              <w:bottom w:val="nil"/>
              <w:right w:val="nil"/>
            </w:tcBorders>
            <w:vAlign w:val="center"/>
          </w:tcPr>
          <w:p w:rsidR="00565123" w:rsidRPr="005806AE" w:rsidRDefault="00565123" w:rsidP="000A1875">
            <w:pPr>
              <w:pStyle w:val="a6"/>
              <w:rPr>
                <w:lang w:val="uk-UA"/>
              </w:rPr>
            </w:pPr>
          </w:p>
          <w:p w:rsidR="00565123" w:rsidRPr="005806AE" w:rsidRDefault="00565123" w:rsidP="000A1875">
            <w:pPr>
              <w:pStyle w:val="a6"/>
              <w:rPr>
                <w:lang w:val="uk-UA"/>
              </w:rPr>
            </w:pPr>
          </w:p>
        </w:tc>
        <w:tc>
          <w:tcPr>
            <w:tcW w:w="4394"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708"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275"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120" w:type="dxa"/>
            <w:tcBorders>
              <w:top w:val="single" w:sz="4" w:space="0" w:color="auto"/>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Разом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r w:rsidRPr="005806AE">
              <w:rPr>
                <w:highlight w:val="yellow"/>
              </w:rPr>
              <w:t xml:space="preserve">                     </w:t>
            </w: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Всього 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0A1875">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0A1875">
            <w:pPr>
              <w:spacing w:line="240" w:lineRule="atLeast"/>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0A1875">
            <w:pPr>
              <w:shd w:val="clear" w:color="auto" w:fill="FFFFFF"/>
              <w:tabs>
                <w:tab w:val="left" w:pos="142"/>
                <w:tab w:val="left" w:pos="284"/>
              </w:tabs>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0A1875">
            <w:pPr>
              <w:spacing w:line="240" w:lineRule="atLeast"/>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41B51">
            <w:pPr>
              <w:spacing w:line="240" w:lineRule="atLeast"/>
              <w:ind w:right="-1"/>
              <w:rPr>
                <w:rFonts w:ascii="Times New Roman" w:hAnsi="Times New Roman" w:cs="Times New Roman"/>
                <w:b/>
                <w:sz w:val="24"/>
                <w:szCs w:val="24"/>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p>
          <w:p w:rsidR="00DE5834" w:rsidRPr="005806AE" w:rsidRDefault="00DE5834" w:rsidP="000A1875">
            <w:pPr>
              <w:spacing w:line="240" w:lineRule="atLeast"/>
              <w:rPr>
                <w:rFonts w:ascii="Times New Roman" w:hAnsi="Times New Roman" w:cs="Times New Roman"/>
                <w:bCs/>
                <w:sz w:val="24"/>
                <w:szCs w:val="24"/>
                <w:vertAlign w:val="superscript"/>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246BC"/>
    <w:rsid w:val="0015220B"/>
    <w:rsid w:val="001A3C33"/>
    <w:rsid w:val="001D1408"/>
    <w:rsid w:val="00247457"/>
    <w:rsid w:val="00250591"/>
    <w:rsid w:val="0025575E"/>
    <w:rsid w:val="00335FAA"/>
    <w:rsid w:val="003B3A32"/>
    <w:rsid w:val="00466194"/>
    <w:rsid w:val="00565123"/>
    <w:rsid w:val="006742E7"/>
    <w:rsid w:val="0070144D"/>
    <w:rsid w:val="007414EC"/>
    <w:rsid w:val="00834673"/>
    <w:rsid w:val="00897A24"/>
    <w:rsid w:val="008A5B94"/>
    <w:rsid w:val="008D58E2"/>
    <w:rsid w:val="009906AC"/>
    <w:rsid w:val="00AD7EAE"/>
    <w:rsid w:val="00B45C60"/>
    <w:rsid w:val="00BD7BAB"/>
    <w:rsid w:val="00C64ACE"/>
    <w:rsid w:val="00CA0C25"/>
    <w:rsid w:val="00CC2B34"/>
    <w:rsid w:val="00D41B51"/>
    <w:rsid w:val="00DE5834"/>
    <w:rsid w:val="00EE705F"/>
    <w:rsid w:val="00F3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783A"/>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C64ACE"/>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1k.sekretar@gmail.com" TargetMode="External"/><Relationship Id="rId4" Type="http://schemas.openxmlformats.org/officeDocument/2006/relationships/hyperlink" Target="mailto:centr1k.sekreta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38</cp:revision>
  <dcterms:created xsi:type="dcterms:W3CDTF">2023-07-20T12:04:00Z</dcterms:created>
  <dcterms:modified xsi:type="dcterms:W3CDTF">2024-03-01T08:36:00Z</dcterms:modified>
</cp:coreProperties>
</file>