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E" w:rsidRDefault="009D0B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0BCE" w:rsidRDefault="00B574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D0BCE" w:rsidRDefault="00B5740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9D0BCE" w:rsidRDefault="00B5740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70974" w:rsidRPr="00F70974" w:rsidRDefault="00F70974" w:rsidP="00F70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подаються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Pr="00F7097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кваліфікаційним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критеріям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статті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16 Закону,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визначеним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пунктом 47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іншим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70974" w:rsidRPr="00F70974" w:rsidRDefault="00F70974" w:rsidP="00F70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974" w:rsidRPr="00F70974" w:rsidRDefault="00F70974" w:rsidP="00F70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74">
        <w:rPr>
          <w:rFonts w:ascii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статті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16 Закону та пункту 28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спосіб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документального </w:t>
      </w:r>
      <w:proofErr w:type="spellStart"/>
      <w:proofErr w:type="gramStart"/>
      <w:r w:rsidRPr="00F7097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b/>
          <w:sz w:val="24"/>
          <w:szCs w:val="24"/>
        </w:rPr>
        <w:t>ідтвердження</w:t>
      </w:r>
      <w:proofErr w:type="spellEnd"/>
    </w:p>
    <w:p w:rsidR="00F70974" w:rsidRPr="00F70974" w:rsidRDefault="00F70974" w:rsidP="00F70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9" w:type="dxa"/>
        <w:tblInd w:w="2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570"/>
        <w:gridCol w:w="6379"/>
      </w:tblGrid>
      <w:tr w:rsidR="00F70974" w:rsidRPr="00F70974" w:rsidTr="00CE1EEF"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70974" w:rsidRPr="00F70974" w:rsidRDefault="00F70974" w:rsidP="00CE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встановлені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974" w:rsidRPr="00F70974" w:rsidRDefault="00F70974" w:rsidP="00CE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 Закону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70974" w:rsidRPr="00F70974" w:rsidRDefault="00F70974" w:rsidP="00CE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ідтверджують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встановленим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</w:p>
        </w:tc>
      </w:tr>
      <w:tr w:rsidR="00F70974" w:rsidRPr="00F70974" w:rsidTr="00CE1EEF">
        <w:trPr>
          <w:trHeight w:val="1913"/>
        </w:trPr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70974" w:rsidRPr="00F70974" w:rsidRDefault="00F70974" w:rsidP="00CE1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документально </w:t>
            </w:r>
            <w:proofErr w:type="spellStart"/>
            <w:proofErr w:type="gramStart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ідтвердженого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досвіду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аналогічного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аналогічних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за предметом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договору (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договорів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F70974" w:rsidRPr="00F70974" w:rsidRDefault="00F70974" w:rsidP="00CE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70974" w:rsidRPr="00F70974" w:rsidRDefault="00F70974" w:rsidP="00CE1EEF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70974">
              <w:rPr>
                <w:rFonts w:ascii="Times New Roman" w:hAnsi="Times New Roman" w:cs="Times New Roman"/>
                <w:b/>
                <w:sz w:val="24"/>
                <w:szCs w:val="24"/>
              </w:rPr>
              <w:t>формою 1</w:t>
            </w:r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proofErr w:type="gram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наведеної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документу(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7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0974" w:rsidRPr="00F70974" w:rsidRDefault="00F70974" w:rsidP="00F70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974" w:rsidRPr="00F70974" w:rsidRDefault="00F70974" w:rsidP="00F70974">
      <w:pPr>
        <w:ind w:righ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70974">
        <w:rPr>
          <w:rFonts w:ascii="Times New Roman" w:hAnsi="Times New Roman" w:cs="Times New Roman"/>
          <w:i/>
          <w:iCs/>
          <w:sz w:val="24"/>
          <w:szCs w:val="24"/>
        </w:rPr>
        <w:t xml:space="preserve">      Форма 1</w:t>
      </w:r>
    </w:p>
    <w:p w:rsidR="00F70974" w:rsidRPr="00F70974" w:rsidRDefault="00F70974" w:rsidP="00F70974">
      <w:pPr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Довідка</w:t>
      </w:r>
      <w:proofErr w:type="spellEnd"/>
    </w:p>
    <w:p w:rsidR="00F70974" w:rsidRPr="00F70974" w:rsidRDefault="00F70974" w:rsidP="00F70974">
      <w:pPr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974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наявність</w:t>
      </w:r>
      <w:proofErr w:type="spellEnd"/>
      <w:r w:rsidRPr="00F7097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досвіду</w:t>
      </w:r>
      <w:proofErr w:type="spellEnd"/>
      <w:r w:rsidRPr="00F70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F70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аналогічного</w:t>
      </w:r>
      <w:proofErr w:type="spellEnd"/>
      <w:r w:rsidRPr="00F7097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аналогічних</w:t>
      </w:r>
      <w:proofErr w:type="spellEnd"/>
      <w:r w:rsidRPr="00F70974">
        <w:rPr>
          <w:rFonts w:ascii="Times New Roman" w:hAnsi="Times New Roman" w:cs="Times New Roman"/>
          <w:b/>
          <w:bCs/>
          <w:sz w:val="24"/>
          <w:szCs w:val="24"/>
        </w:rPr>
        <w:t xml:space="preserve">) за предметом </w:t>
      </w:r>
      <w:proofErr w:type="spell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F7097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70974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 (</w:t>
      </w:r>
      <w:proofErr w:type="spellStart"/>
      <w:r w:rsidRPr="00F70974">
        <w:rPr>
          <w:rFonts w:ascii="Times New Roman" w:hAnsi="Times New Roman" w:cs="Times New Roman"/>
          <w:b/>
          <w:bCs/>
          <w:sz w:val="24"/>
          <w:szCs w:val="24"/>
        </w:rPr>
        <w:t>договорів</w:t>
      </w:r>
      <w:proofErr w:type="spellEnd"/>
      <w:r w:rsidRPr="00F70974">
        <w:rPr>
          <w:rFonts w:ascii="Times New Roman" w:hAnsi="Times New Roman" w:cs="Times New Roman"/>
          <w:b/>
          <w:bCs/>
          <w:sz w:val="24"/>
          <w:szCs w:val="24"/>
        </w:rPr>
        <w:t>)*</w:t>
      </w:r>
    </w:p>
    <w:p w:rsidR="00F70974" w:rsidRPr="00F70974" w:rsidRDefault="00F70974" w:rsidP="00F70974">
      <w:pPr>
        <w:ind w:right="13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974" w:rsidRPr="00F70974" w:rsidRDefault="00F70974" w:rsidP="00F70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_________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аналогічного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аналогічних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 за предметом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договору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:</w:t>
      </w:r>
    </w:p>
    <w:p w:rsidR="00F70974" w:rsidRPr="00F70974" w:rsidRDefault="00F70974" w:rsidP="00F70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254"/>
        <w:gridCol w:w="2349"/>
        <w:gridCol w:w="3586"/>
      </w:tblGrid>
      <w:tr w:rsidR="00F70974" w:rsidRPr="00F70974" w:rsidTr="00CE1EEF">
        <w:tc>
          <w:tcPr>
            <w:tcW w:w="567" w:type="dxa"/>
            <w:shd w:val="clear" w:color="auto" w:fill="auto"/>
            <w:vAlign w:val="center"/>
          </w:tcPr>
          <w:p w:rsidR="00F70974" w:rsidRPr="00F70974" w:rsidRDefault="00F70974" w:rsidP="00CE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0974" w:rsidRPr="00F70974" w:rsidRDefault="00F70974" w:rsidP="00CE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замовника</w:t>
            </w:r>
            <w:proofErr w:type="spellEnd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договором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70974" w:rsidRPr="00F70974" w:rsidRDefault="00F70974" w:rsidP="00CE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та дата договору </w:t>
            </w:r>
          </w:p>
        </w:tc>
        <w:tc>
          <w:tcPr>
            <w:tcW w:w="3766" w:type="dxa"/>
            <w:shd w:val="clear" w:color="auto" w:fill="auto"/>
          </w:tcPr>
          <w:p w:rsidR="00F70974" w:rsidRPr="00F70974" w:rsidRDefault="00F70974" w:rsidP="00CE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</w:t>
            </w:r>
            <w:proofErr w:type="gramStart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и), </w:t>
            </w:r>
            <w:proofErr w:type="spellStart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підтверджують</w:t>
            </w:r>
            <w:proofErr w:type="spellEnd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F7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договору</w:t>
            </w:r>
          </w:p>
        </w:tc>
      </w:tr>
      <w:tr w:rsidR="00F70974" w:rsidRPr="00F70974" w:rsidTr="00CE1EEF">
        <w:tc>
          <w:tcPr>
            <w:tcW w:w="567" w:type="dxa"/>
            <w:shd w:val="clear" w:color="auto" w:fill="auto"/>
          </w:tcPr>
          <w:p w:rsidR="00F70974" w:rsidRPr="00F70974" w:rsidRDefault="00F70974" w:rsidP="00C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0974" w:rsidRPr="00F70974" w:rsidRDefault="00F70974" w:rsidP="00C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F70974" w:rsidRPr="00F70974" w:rsidRDefault="00F70974" w:rsidP="00C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</w:tcPr>
          <w:p w:rsidR="00F70974" w:rsidRPr="00F70974" w:rsidRDefault="00F70974" w:rsidP="00C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74" w:rsidRPr="00F70974" w:rsidTr="00CE1EEF">
        <w:tc>
          <w:tcPr>
            <w:tcW w:w="567" w:type="dxa"/>
            <w:shd w:val="clear" w:color="auto" w:fill="auto"/>
          </w:tcPr>
          <w:p w:rsidR="00F70974" w:rsidRPr="00F70974" w:rsidRDefault="00F70974" w:rsidP="00C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0974" w:rsidRPr="00F70974" w:rsidRDefault="00F70974" w:rsidP="00C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F70974" w:rsidRPr="00F70974" w:rsidRDefault="00F70974" w:rsidP="00C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</w:tcPr>
          <w:p w:rsidR="00F70974" w:rsidRPr="00F70974" w:rsidRDefault="00F70974" w:rsidP="00C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974" w:rsidRPr="00F70974" w:rsidRDefault="00F70974" w:rsidP="00F70974">
      <w:pPr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7097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Аналогічний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до коду </w:t>
      </w:r>
      <w:r w:rsidRPr="00F7097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ДК 021:2015  15880000-0  </w:t>
      </w:r>
      <w:r w:rsidRPr="00F70974">
        <w:rPr>
          <w:rFonts w:ascii="Times New Roman" w:hAnsi="Times New Roman" w:cs="Times New Roman"/>
          <w:sz w:val="26"/>
          <w:szCs w:val="26"/>
          <w:lang w:val="uk-UA"/>
        </w:rPr>
        <w:t>Спеціальні продукти харчування, збагачені поживними речовинами.</w:t>
      </w:r>
    </w:p>
    <w:p w:rsidR="00F70974" w:rsidRPr="00F70974" w:rsidRDefault="00F70974" w:rsidP="00F709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lastRenderedPageBreak/>
        <w:t>Примітка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>:</w:t>
      </w:r>
    </w:p>
    <w:p w:rsidR="00F70974" w:rsidRPr="00F70974" w:rsidRDefault="00F70974" w:rsidP="00F709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ідтвердження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кваліфікаційним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критеріям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здійснюється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урахуванням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узагальнених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об’єднаних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кожного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підставі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наданої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об’єднанням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70974" w:rsidRPr="00F70974" w:rsidRDefault="00F70974" w:rsidP="00F70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74" w:rsidRPr="00F70974" w:rsidRDefault="00F70974" w:rsidP="00F70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974" w:rsidRPr="00F70974" w:rsidRDefault="00F70974" w:rsidP="00F7097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proofErr w:type="gramStart"/>
      <w:r w:rsidRPr="00F7097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визначеним</w:t>
      </w:r>
      <w:proofErr w:type="spellEnd"/>
      <w:r w:rsidRPr="00F70974">
        <w:rPr>
          <w:rFonts w:ascii="Times New Roman" w:hAnsi="Times New Roman" w:cs="Times New Roman"/>
          <w:b/>
          <w:sz w:val="24"/>
          <w:szCs w:val="24"/>
        </w:rPr>
        <w:t xml:space="preserve"> пунктом 47 </w:t>
      </w:r>
      <w:proofErr w:type="spellStart"/>
      <w:r w:rsidRPr="00F70974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</w:p>
    <w:p w:rsidR="00F70974" w:rsidRPr="00F70974" w:rsidRDefault="00F70974" w:rsidP="00F70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74" w:rsidRPr="00F70974" w:rsidRDefault="00F70974" w:rsidP="00F70974">
      <w:pPr>
        <w:ind w:left="95" w:right="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підпунктів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1 і 7, абзацу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чотирнадцятого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), шляхом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декларування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974" w:rsidRPr="00F70974" w:rsidRDefault="00F70974" w:rsidP="00F70974">
      <w:pPr>
        <w:ind w:firstLine="522"/>
        <w:jc w:val="both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Замовник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не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вимагає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від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процедури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закупі</w:t>
      </w:r>
      <w:proofErr w:type="gram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вл</w:t>
      </w:r>
      <w:proofErr w:type="gram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під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час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подання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тендерної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пропозиції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в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електронній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системі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закупівель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будь-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яких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документів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що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підтверджують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відсутність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підстав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визначених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абзацу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чотирнадцятого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)</w:t>
      </w:r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крім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самостійного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декларування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відсутності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таких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підстав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учасником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процедури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закупівлі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відповідно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gram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до</w:t>
      </w:r>
      <w:proofErr w:type="gram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абзацу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шістнадцятого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пункту 47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Особливостей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solid" w:color="FFFFFF" w:fill="FFFFFF"/>
        </w:rPr>
        <w:t>.</w:t>
      </w:r>
    </w:p>
    <w:p w:rsidR="00F70974" w:rsidRPr="00F70974" w:rsidRDefault="00F70974" w:rsidP="00F70974">
      <w:pPr>
        <w:pBdr>
          <w:top w:val="nil"/>
          <w:left w:val="nil"/>
          <w:bottom w:val="nil"/>
          <w:right w:val="nil"/>
          <w:between w:val="nil"/>
        </w:pBdr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чотирнадцятим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невиконаного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укладеним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призвело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застосовано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штрафі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такого договору*.</w:t>
      </w:r>
    </w:p>
    <w:p w:rsidR="00F70974" w:rsidRPr="00F70974" w:rsidRDefault="00F70974" w:rsidP="00F709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974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Учасник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процедури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закупі</w:t>
      </w:r>
      <w:proofErr w:type="gramStart"/>
      <w:r w:rsidRPr="00F70974">
        <w:rPr>
          <w:rFonts w:ascii="Times New Roman" w:hAnsi="Times New Roman" w:cs="Times New Roman"/>
          <w:i/>
          <w:sz w:val="24"/>
          <w:szCs w:val="24"/>
        </w:rPr>
        <w:t>вл</w:t>
      </w:r>
      <w:proofErr w:type="gramEnd"/>
      <w:r w:rsidRPr="00F70974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перебуває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обставинах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зазначених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абзаці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чотирнадцятому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вжиття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заходів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доведення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своєї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надійності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незважаючи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наявність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відповідної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підстави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участі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відкритих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торгах. Для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учасник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суб’єкт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господарювання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) повинен довести,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він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сплатив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зобов’язався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сплатити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відповідні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зобов’язання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відшкодування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завданих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збитків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замовник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вважає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таке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i/>
          <w:sz w:val="24"/>
          <w:szCs w:val="24"/>
        </w:rPr>
        <w:t>ідтвердження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достатнім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учаснику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процедури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відмовлено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участі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процедурі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70974" w:rsidRPr="00F70974" w:rsidRDefault="00F70974" w:rsidP="00F709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70974" w:rsidRPr="00F70974" w:rsidRDefault="00F70974" w:rsidP="00F70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Примітка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>:</w:t>
      </w:r>
    </w:p>
    <w:p w:rsidR="00F70974" w:rsidRPr="00F70974" w:rsidRDefault="00F70974" w:rsidP="00F70974">
      <w:pPr>
        <w:jc w:val="both"/>
        <w:rPr>
          <w:rFonts w:ascii="Times New Roman" w:hAnsi="Times New Roman" w:cs="Times New Roman"/>
          <w:strike/>
          <w:sz w:val="24"/>
          <w:szCs w:val="24"/>
          <w:shd w:val="solid" w:color="FFFFFF" w:fill="FFFFFF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об’єднанням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пунктом 47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по кожному з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у склад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Самодекларування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здіснюється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ільній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0974" w:rsidRPr="00F70974" w:rsidRDefault="00F70974" w:rsidP="00F70974">
      <w:pPr>
        <w:pStyle w:val="31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097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ІІІ. Перелік інформації та документів, які вимагаються замовником для підтвердження відповідності учасника вимогам тендерної документації </w:t>
      </w:r>
    </w:p>
    <w:p w:rsidR="00F70974" w:rsidRPr="00F70974" w:rsidRDefault="00F70974" w:rsidP="00F70974">
      <w:pPr>
        <w:pStyle w:val="31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0974" w:rsidRPr="00F70974" w:rsidRDefault="00F70974" w:rsidP="00F709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sz w:val="24"/>
          <w:szCs w:val="24"/>
        </w:rPr>
        <w:lastRenderedPageBreak/>
        <w:t>Копія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чинну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- </w:t>
      </w:r>
      <w:r w:rsidRPr="00F70974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який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платником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вказаного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податку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чинну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– </w:t>
      </w:r>
      <w:r w:rsidRPr="00F70974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який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платником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єдиного</w:t>
      </w:r>
      <w:proofErr w:type="spellEnd"/>
      <w:r w:rsidRPr="00F7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i/>
          <w:sz w:val="24"/>
          <w:szCs w:val="24"/>
        </w:rPr>
        <w:t>податку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.</w:t>
      </w:r>
    </w:p>
    <w:p w:rsidR="00F70974" w:rsidRPr="00F70974" w:rsidRDefault="00F70974" w:rsidP="00F70974">
      <w:pPr>
        <w:widowControl w:val="0"/>
        <w:numPr>
          <w:ilvl w:val="0"/>
          <w:numId w:val="3"/>
        </w:numPr>
        <w:tabs>
          <w:tab w:val="left" w:pos="29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підтверджуються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сканованими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оригіналів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0974" w:rsidRPr="00F70974" w:rsidRDefault="00F70974" w:rsidP="00F70974">
      <w:pPr>
        <w:pStyle w:val="a6"/>
        <w:numPr>
          <w:ilvl w:val="0"/>
          <w:numId w:val="4"/>
        </w:numPr>
        <w:tabs>
          <w:tab w:val="left" w:pos="40"/>
          <w:tab w:val="left" w:pos="324"/>
        </w:tabs>
        <w:spacing w:after="22" w:line="20" w:lineRule="atLeast"/>
        <w:ind w:left="40" w:right="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учасників-юридичних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організації-учасника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- протокол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директора, президента,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виписка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70974" w:rsidRPr="00F70974" w:rsidRDefault="00F70974" w:rsidP="00F70974">
      <w:pPr>
        <w:pStyle w:val="a6"/>
        <w:numPr>
          <w:ilvl w:val="0"/>
          <w:numId w:val="4"/>
        </w:numPr>
        <w:tabs>
          <w:tab w:val="left" w:pos="40"/>
          <w:tab w:val="left" w:pos="324"/>
        </w:tabs>
        <w:spacing w:after="22" w:line="20" w:lineRule="atLeast"/>
        <w:ind w:left="40" w:right="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учасників-юридичних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особою -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документальне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статусу та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), на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довіреності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)) (протокол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директора, президента,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виписка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0974" w:rsidRPr="00F70974" w:rsidRDefault="00F70974" w:rsidP="00F70974">
      <w:pPr>
        <w:spacing w:after="39" w:line="20" w:lineRule="atLeast"/>
        <w:ind w:right="59" w:firstLine="10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учасників-фізичних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паспорту (а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1-6 та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документу,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13 Закону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демографічний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709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громадянство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особу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статус»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20.11.2012 № 5492</w:t>
      </w:r>
      <w:r w:rsidRPr="00F7097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;</w:t>
      </w:r>
    </w:p>
    <w:p w:rsidR="00F70974" w:rsidRPr="00F70974" w:rsidRDefault="00F70974" w:rsidP="00F70974">
      <w:pPr>
        <w:spacing w:after="39" w:line="20" w:lineRule="atLeast"/>
        <w:ind w:right="59" w:firstLine="10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учасників-фізичних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-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та договору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.</w:t>
      </w:r>
    </w:p>
    <w:p w:rsidR="00F70974" w:rsidRPr="00F70974" w:rsidRDefault="00F70974" w:rsidP="00F70974">
      <w:pPr>
        <w:widowControl w:val="0"/>
        <w:numPr>
          <w:ilvl w:val="0"/>
          <w:numId w:val="3"/>
        </w:numPr>
        <w:tabs>
          <w:tab w:val="left" w:pos="2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документу (документ повинен бути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наданий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реєстратора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коду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можливим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останню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редакцію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документу через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веб-сайт (</w:t>
      </w:r>
      <w:hyperlink r:id="rId9" w:history="1">
        <w:r w:rsidRPr="00F70974">
          <w:rPr>
            <w:rStyle w:val="a5"/>
            <w:rFonts w:ascii="Times New Roman" w:hAnsi="Times New Roman" w:cs="Times New Roman"/>
            <w:sz w:val="24"/>
            <w:szCs w:val="24"/>
          </w:rPr>
          <w:t>https://usr.minjust.gov.ua/</w:t>
        </w:r>
        <w:proofErr w:type="gramStart"/>
        <w:r w:rsidRPr="00F70974">
          <w:rPr>
            <w:rStyle w:val="a5"/>
            <w:rFonts w:ascii="Times New Roman" w:hAnsi="Times New Roman" w:cs="Times New Roman"/>
            <w:sz w:val="24"/>
            <w:szCs w:val="24"/>
          </w:rPr>
          <w:t>ua/freesearch</w:t>
        </w:r>
      </w:hyperlink>
      <w:r w:rsidRPr="00F70974">
        <w:rPr>
          <w:rFonts w:ascii="Times New Roman" w:hAnsi="Times New Roman" w:cs="Times New Roman"/>
          <w:sz w:val="24"/>
          <w:szCs w:val="24"/>
        </w:rPr>
        <w:t xml:space="preserve">) . </w:t>
      </w:r>
      <w:proofErr w:type="gramEnd"/>
    </w:p>
    <w:p w:rsidR="00F70974" w:rsidRPr="00F70974" w:rsidRDefault="00F70974" w:rsidP="00F70974">
      <w:pPr>
        <w:widowControl w:val="0"/>
        <w:tabs>
          <w:tab w:val="left" w:pos="29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випадку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діяльність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ідставі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модельного Статуту,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необхідно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надати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копію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Статуту та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копію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засновників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створення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такої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юридичної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особи та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здійснення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>підставі</w:t>
      </w:r>
      <w:proofErr w:type="spellEnd"/>
      <w:r w:rsidRPr="00F7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модельного Статуту. </w:t>
      </w:r>
    </w:p>
    <w:p w:rsidR="00F70974" w:rsidRPr="00F70974" w:rsidRDefault="00F70974" w:rsidP="00F7097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в п.3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юридичними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особами. </w:t>
      </w:r>
    </w:p>
    <w:p w:rsidR="00F70974" w:rsidRPr="00F70974" w:rsidRDefault="00F70974" w:rsidP="00F70974">
      <w:pPr>
        <w:widowControl w:val="0"/>
        <w:numPr>
          <w:ilvl w:val="0"/>
          <w:numId w:val="3"/>
        </w:numPr>
        <w:tabs>
          <w:tab w:val="left" w:pos="29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осіб-підприємці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709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актуальну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.</w:t>
      </w:r>
    </w:p>
    <w:p w:rsidR="00F70974" w:rsidRPr="00F70974" w:rsidRDefault="00F70974" w:rsidP="00F70974">
      <w:pPr>
        <w:widowControl w:val="0"/>
        <w:numPr>
          <w:ilvl w:val="0"/>
          <w:numId w:val="3"/>
        </w:numPr>
        <w:tabs>
          <w:tab w:val="left" w:pos="29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ільній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:</w:t>
      </w:r>
    </w:p>
    <w:p w:rsidR="00F70974" w:rsidRPr="00F70974" w:rsidRDefault="00F70974" w:rsidP="00F70974">
      <w:pPr>
        <w:tabs>
          <w:tab w:val="left" w:pos="108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(адреса -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телефон </w:t>
      </w:r>
      <w:proofErr w:type="gramStart"/>
      <w:r w:rsidRPr="00F709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r w:rsidRPr="00F709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0974">
        <w:rPr>
          <w:rFonts w:ascii="Times New Roman" w:hAnsi="Times New Roman" w:cs="Times New Roman"/>
          <w:sz w:val="24"/>
          <w:szCs w:val="24"/>
        </w:rPr>
        <w:t>-</w:t>
      </w:r>
      <w:r w:rsidRPr="00F709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097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0974" w:rsidRPr="00F70974" w:rsidRDefault="00F70974" w:rsidP="00F70974">
      <w:pPr>
        <w:tabs>
          <w:tab w:val="left" w:pos="108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(посада, </w:t>
      </w:r>
      <w:proofErr w:type="spellStart"/>
      <w:proofErr w:type="gramStart"/>
      <w:r w:rsidRPr="00F7097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7097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телефон для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0974" w:rsidRPr="00F70974" w:rsidRDefault="00F70974" w:rsidP="00F70974">
      <w:pPr>
        <w:tabs>
          <w:tab w:val="left" w:pos="108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в) форма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організаційно-правова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форма (для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);</w:t>
      </w:r>
    </w:p>
    <w:p w:rsidR="00F70974" w:rsidRPr="00F70974" w:rsidRDefault="00F70974" w:rsidP="00F70974">
      <w:pPr>
        <w:tabs>
          <w:tab w:val="left" w:pos="900"/>
          <w:tab w:val="left" w:pos="126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F709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74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F70974">
        <w:rPr>
          <w:rFonts w:ascii="Times New Roman" w:hAnsi="Times New Roman" w:cs="Times New Roman"/>
          <w:sz w:val="24"/>
          <w:szCs w:val="24"/>
        </w:rPr>
        <w:t>.</w:t>
      </w:r>
    </w:p>
    <w:p w:rsidR="009D0BCE" w:rsidRPr="00F70974" w:rsidRDefault="009D0B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D0BCE" w:rsidRPr="00F70974" w:rsidSect="007B14CA">
      <w:headerReference w:type="default" r:id="rId10"/>
      <w:pgSz w:w="11906" w:h="16838"/>
      <w:pgMar w:top="850" w:right="850" w:bottom="850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54" w:rsidRDefault="002D7654" w:rsidP="007B14CA">
      <w:pPr>
        <w:spacing w:after="0" w:line="240" w:lineRule="auto"/>
      </w:pPr>
      <w:r>
        <w:separator/>
      </w:r>
    </w:p>
  </w:endnote>
  <w:endnote w:type="continuationSeparator" w:id="0">
    <w:p w:rsidR="002D7654" w:rsidRDefault="002D7654" w:rsidP="007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54" w:rsidRDefault="002D7654" w:rsidP="007B14CA">
      <w:pPr>
        <w:spacing w:after="0" w:line="240" w:lineRule="auto"/>
      </w:pPr>
      <w:r>
        <w:separator/>
      </w:r>
    </w:p>
  </w:footnote>
  <w:footnote w:type="continuationSeparator" w:id="0">
    <w:p w:rsidR="002D7654" w:rsidRDefault="002D7654" w:rsidP="007B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14887876"/>
      <w:docPartObj>
        <w:docPartGallery w:val="Page Numbers (Top of Page)"/>
        <w:docPartUnique/>
      </w:docPartObj>
    </w:sdtPr>
    <w:sdtEndPr/>
    <w:sdtContent>
      <w:p w:rsidR="007B14CA" w:rsidRPr="007B14CA" w:rsidRDefault="00A57636">
        <w:pPr>
          <w:pStyle w:val="af0"/>
          <w:jc w:val="center"/>
          <w:rPr>
            <w:rFonts w:ascii="Times New Roman" w:hAnsi="Times New Roman" w:cs="Times New Roman"/>
          </w:rPr>
        </w:pPr>
        <w:r w:rsidRPr="007B14CA">
          <w:rPr>
            <w:rFonts w:ascii="Times New Roman" w:hAnsi="Times New Roman" w:cs="Times New Roman"/>
          </w:rPr>
          <w:fldChar w:fldCharType="begin"/>
        </w:r>
        <w:r w:rsidR="007B14CA" w:rsidRPr="007B14CA">
          <w:rPr>
            <w:rFonts w:ascii="Times New Roman" w:hAnsi="Times New Roman" w:cs="Times New Roman"/>
          </w:rPr>
          <w:instrText xml:space="preserve"> PAGE   \* MERGEFORMAT </w:instrText>
        </w:r>
        <w:r w:rsidRPr="007B14CA">
          <w:rPr>
            <w:rFonts w:ascii="Times New Roman" w:hAnsi="Times New Roman" w:cs="Times New Roman"/>
          </w:rPr>
          <w:fldChar w:fldCharType="separate"/>
        </w:r>
        <w:r w:rsidR="00F70974">
          <w:rPr>
            <w:rFonts w:ascii="Times New Roman" w:hAnsi="Times New Roman" w:cs="Times New Roman"/>
            <w:noProof/>
          </w:rPr>
          <w:t>3</w:t>
        </w:r>
        <w:r w:rsidRPr="007B14CA">
          <w:rPr>
            <w:rFonts w:ascii="Times New Roman" w:hAnsi="Times New Roman" w:cs="Times New Roman"/>
          </w:rPr>
          <w:fldChar w:fldCharType="end"/>
        </w:r>
      </w:p>
    </w:sdtContent>
  </w:sdt>
  <w:p w:rsidR="007B14CA" w:rsidRDefault="007B14C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F4F"/>
    <w:multiLevelType w:val="multilevel"/>
    <w:tmpl w:val="C5E0D0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C6326"/>
    <w:multiLevelType w:val="hybridMultilevel"/>
    <w:tmpl w:val="FB2ED92C"/>
    <w:lvl w:ilvl="0" w:tplc="0024D2DC">
      <w:start w:val="1"/>
      <w:numFmt w:val="bullet"/>
      <w:lvlText w:val="-"/>
      <w:lvlJc w:val="left"/>
      <w:pPr>
        <w:ind w:left="400" w:hanging="360"/>
      </w:pPr>
      <w:rPr>
        <w:rFonts w:ascii="Liberation Serif" w:eastAsia="Liberation Serif" w:hAnsi="Liberation Serif" w:cs="Liberation Serif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Lucida Sans Unicode" w:hAnsi="Lucida Sans Unicode" w:cs="Lucida Sans Unicode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Cambria" w:hAnsi="Cambria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Mangal" w:hAnsi="Manga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Lucida Sans Unicode" w:hAnsi="Lucida Sans Unicode" w:cs="Lucida Sans Unicode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Cambria" w:hAnsi="Cambria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Mangal" w:hAnsi="Manga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Lucida Sans Unicode" w:hAnsi="Lucida Sans Unicode" w:cs="Lucida Sans Unicode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Cambria" w:hAnsi="Cambria" w:hint="default"/>
      </w:rPr>
    </w:lvl>
  </w:abstractNum>
  <w:abstractNum w:abstractNumId="2">
    <w:nsid w:val="52F2510D"/>
    <w:multiLevelType w:val="multilevel"/>
    <w:tmpl w:val="3022D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F916972"/>
    <w:multiLevelType w:val="multilevel"/>
    <w:tmpl w:val="1BDAE5F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BCE"/>
    <w:rsid w:val="001A3B00"/>
    <w:rsid w:val="001E6E06"/>
    <w:rsid w:val="002578DE"/>
    <w:rsid w:val="002B4C0A"/>
    <w:rsid w:val="002D7654"/>
    <w:rsid w:val="002F47C4"/>
    <w:rsid w:val="003F7278"/>
    <w:rsid w:val="00527CC5"/>
    <w:rsid w:val="00533F42"/>
    <w:rsid w:val="005420AA"/>
    <w:rsid w:val="00585492"/>
    <w:rsid w:val="005A267C"/>
    <w:rsid w:val="005C7455"/>
    <w:rsid w:val="0078184A"/>
    <w:rsid w:val="007B14CA"/>
    <w:rsid w:val="007B56C5"/>
    <w:rsid w:val="00902E5C"/>
    <w:rsid w:val="00924636"/>
    <w:rsid w:val="00971E23"/>
    <w:rsid w:val="009D0BCE"/>
    <w:rsid w:val="00A27F25"/>
    <w:rsid w:val="00A5367F"/>
    <w:rsid w:val="00A57636"/>
    <w:rsid w:val="00AB25CD"/>
    <w:rsid w:val="00B233EF"/>
    <w:rsid w:val="00B5740F"/>
    <w:rsid w:val="00BD1D1B"/>
    <w:rsid w:val="00C64AD3"/>
    <w:rsid w:val="00D40B03"/>
    <w:rsid w:val="00E75A33"/>
    <w:rsid w:val="00F15B1D"/>
    <w:rsid w:val="00F464F7"/>
    <w:rsid w:val="00F51B90"/>
    <w:rsid w:val="00F70974"/>
    <w:rsid w:val="00F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E"/>
  </w:style>
  <w:style w:type="paragraph" w:styleId="1">
    <w:name w:val="heading 1"/>
    <w:basedOn w:val="10"/>
    <w:next w:val="10"/>
    <w:rsid w:val="009D0B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D0B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D0B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D0B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D0B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D0B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D0BCE"/>
  </w:style>
  <w:style w:type="table" w:customStyle="1" w:styleId="TableNormal">
    <w:name w:val="Table Normal"/>
    <w:rsid w:val="009D0B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D0B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Number Bullets,название табл/рис,Список уровня 2,Bullet Number,Bullet 1,Use Case List Paragraph,lp1,lp11,List Paragraph11,Абзац списка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10"/>
    <w:next w:val="10"/>
    <w:rsid w:val="009D0B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9D0B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header"/>
    <w:basedOn w:val="a"/>
    <w:link w:val="af1"/>
    <w:uiPriority w:val="99"/>
    <w:unhideWhenUsed/>
    <w:rsid w:val="007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B14CA"/>
  </w:style>
  <w:style w:type="paragraph" w:styleId="af2">
    <w:name w:val="footer"/>
    <w:basedOn w:val="a"/>
    <w:link w:val="af3"/>
    <w:uiPriority w:val="99"/>
    <w:semiHidden/>
    <w:unhideWhenUsed/>
    <w:rsid w:val="007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14CA"/>
  </w:style>
  <w:style w:type="character" w:customStyle="1" w:styleId="a7">
    <w:name w:val="Абзац списка Знак"/>
    <w:aliases w:val="Number Bullets Знак,название табл/рис Знак,Список уровня 2 Знак,Bullet Number Знак,Bullet 1 Знак,Use Case List Paragraph Знак,lp1 Знак,lp11 Знак,List Paragraph11 Знак,Абзац списка1 Знак"/>
    <w:link w:val="a6"/>
    <w:uiPriority w:val="34"/>
    <w:qFormat/>
    <w:locked/>
    <w:rsid w:val="00F70974"/>
  </w:style>
  <w:style w:type="character" w:customStyle="1" w:styleId="30">
    <w:name w:val="Основной текст (3)_"/>
    <w:link w:val="31"/>
    <w:rsid w:val="00F70974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0974"/>
    <w:pPr>
      <w:widowControl w:val="0"/>
      <w:shd w:val="clear" w:color="auto" w:fill="FFFFFF"/>
      <w:spacing w:after="0" w:line="274" w:lineRule="exact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r.minjust.gov.ua/ua/fre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4841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LP-4</cp:lastModifiedBy>
  <cp:revision>3</cp:revision>
  <dcterms:created xsi:type="dcterms:W3CDTF">2023-02-10T06:42:00Z</dcterms:created>
  <dcterms:modified xsi:type="dcterms:W3CDTF">2024-02-07T14:10:00Z</dcterms:modified>
</cp:coreProperties>
</file>