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B126" w14:textId="71529568" w:rsidR="00C717DC" w:rsidRPr="00C717DC" w:rsidRDefault="00C717DC" w:rsidP="00C717DC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Додаток </w:t>
      </w:r>
      <w:r w:rsidR="0071428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</w:t>
      </w:r>
    </w:p>
    <w:p w14:paraId="3C2ADCC4" w14:textId="77777777" w:rsidR="00C717DC" w:rsidRPr="00C717DC" w:rsidRDefault="00C717DC" w:rsidP="00C717DC">
      <w:pPr>
        <w:ind w:left="-709" w:firstLine="1260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C717DC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закупівлі, а також відповідну технічна специфікація</w:t>
      </w:r>
    </w:p>
    <w:p w14:paraId="53641C80" w14:textId="77777777" w:rsidR="00C717DC" w:rsidRPr="00C717DC" w:rsidRDefault="00C717DC" w:rsidP="00C717DC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14:paraId="42A63769" w14:textId="77777777" w:rsidR="00C717DC" w:rsidRPr="00C717DC" w:rsidRDefault="00C717DC" w:rsidP="00C717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до предмету закупівлі </w:t>
      </w:r>
    </w:p>
    <w:p w14:paraId="7DA899F9" w14:textId="77777777" w:rsidR="00C717DC" w:rsidRPr="00C717DC" w:rsidRDefault="00C717DC" w:rsidP="00C717D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1. Найменування предмета закупівлі: код за ДК 021:2015-15880000-0-Спеціальні продукти харчування, збагачені поживними речовинами</w:t>
      </w:r>
    </w:p>
    <w:p w14:paraId="4827D5B3" w14:textId="77777777" w:rsidR="00C717DC" w:rsidRPr="00C717DC" w:rsidRDefault="00C717DC" w:rsidP="00C717D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 xml:space="preserve">2. Запропонований учасником товар за медико-технічними властивостями повинен відповідати наступним медико-технічним вимогам: </w:t>
      </w:r>
    </w:p>
    <w:tbl>
      <w:tblPr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276"/>
        <w:gridCol w:w="709"/>
        <w:gridCol w:w="5953"/>
      </w:tblGrid>
      <w:tr w:rsidR="00C717DC" w:rsidRPr="00C717DC" w14:paraId="47A76ABD" w14:textId="77777777" w:rsidTr="002453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1C3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4898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предмета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87E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3B7A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B221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</w:t>
            </w:r>
          </w:p>
        </w:tc>
      </w:tr>
      <w:tr w:rsidR="00C743B3" w:rsidRPr="00C717DC" w14:paraId="41E9C222" w14:textId="77777777" w:rsidTr="002453BF">
        <w:trPr>
          <w:trHeight w:val="6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AD3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CACF" w14:textId="5A42C3DB" w:rsidR="00C743B3" w:rsidRPr="00C743B3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3B3">
              <w:rPr>
                <w:rFonts w:ascii="Times New Roman" w:hAnsi="Times New Roman"/>
                <w:sz w:val="24"/>
                <w:szCs w:val="24"/>
                <w:lang w:val="uk-UA"/>
              </w:rPr>
              <w:t>Ентеральне харчування з нейтральним смаком з високим вмістом білка та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7602" w14:textId="1EC93344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Шт. (пляшка)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ємністю 125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034B" w14:textId="3E1181AE" w:rsidR="00C743B3" w:rsidRPr="00C743B3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228B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Харчовий продукт для спеціальних медичних цілей: ентеральне харчування  </w:t>
            </w:r>
          </w:p>
          <w:p w14:paraId="1F2C2795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1.Вміст білку у 100 мл готової суміші – не менше 14 г</w:t>
            </w:r>
          </w:p>
          <w:p w14:paraId="7BF746FB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2.Енергетична цінність у 100 мл готової суміші – не менше 240 ккал </w:t>
            </w:r>
          </w:p>
          <w:p w14:paraId="586B12CD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3.Вміст жирів у 100 мл готової суміші – не менше  9,4 г</w:t>
            </w:r>
          </w:p>
          <w:p w14:paraId="1EBD39FC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4.Вміст вуглеводів у 100 мл готової суміші – не менше 24,4 г</w:t>
            </w:r>
          </w:p>
          <w:p w14:paraId="5C664785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5. Осмолярність – не вище 570 мОсмол/л</w:t>
            </w:r>
          </w:p>
          <w:p w14:paraId="5AD2A463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6. Від 6 років та старше, дорослих</w:t>
            </w:r>
          </w:p>
          <w:p w14:paraId="5DF95975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7. Смак: нейтральний</w:t>
            </w:r>
          </w:p>
        </w:tc>
      </w:tr>
      <w:tr w:rsidR="00C743B3" w:rsidRPr="00C717DC" w14:paraId="6D6B3BB1" w14:textId="77777777" w:rsidTr="002453BF">
        <w:trPr>
          <w:trHeight w:val="6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A05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AD84" w14:textId="56B40FBD" w:rsidR="00C743B3" w:rsidRPr="00C743B3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3B3">
              <w:rPr>
                <w:rFonts w:ascii="Times New Roman" w:hAnsi="Times New Roman"/>
                <w:sz w:val="24"/>
                <w:szCs w:val="24"/>
                <w:lang w:val="uk-UA"/>
              </w:rPr>
              <w:t>Ентеральне харчування з полуничним смаком з високим вмістом енергії та харчовими волокнами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F400" w14:textId="389D0CF4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Шт. (пляшка)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ємністю 125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8615" w14:textId="00929D15" w:rsidR="00C743B3" w:rsidRPr="00C743B3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A48D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Харчовий продукт для спеціальних медичних цілей: ентеральне харчування  </w:t>
            </w:r>
          </w:p>
          <w:p w14:paraId="2E9295A8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1.Вміст білку у 100 мл готової суміші – не менше 9,5 г</w:t>
            </w:r>
          </w:p>
          <w:p w14:paraId="48841F1A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2.Енергетична цінність у 100 мл готової суміші – не менше 240 ккал </w:t>
            </w:r>
          </w:p>
          <w:p w14:paraId="0FAA16D1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3.Вміст жирів у 100 мл готової суміші – не менше  10 г</w:t>
            </w:r>
          </w:p>
          <w:p w14:paraId="0B3A18C2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4.Вміст вуглеводів у 100 мл готової суміші – не менше 25 г</w:t>
            </w:r>
          </w:p>
          <w:p w14:paraId="4ED4933B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5. Вміст харчових волокон у 100 мл готової суміші – не менше 3 г</w:t>
            </w:r>
          </w:p>
          <w:p w14:paraId="4C212695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6. Осмолярність – не вище 790 мОсмол/л</w:t>
            </w:r>
          </w:p>
          <w:p w14:paraId="2ED20E67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7. Від 3 років та старше, дорослих</w:t>
            </w:r>
          </w:p>
          <w:p w14:paraId="4B7F4AF3" w14:textId="77777777" w:rsidR="00C743B3" w:rsidRPr="00C717DC" w:rsidRDefault="00C743B3" w:rsidP="00C743B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8. Смак: полуниця</w:t>
            </w:r>
          </w:p>
        </w:tc>
      </w:tr>
      <w:tr w:rsidR="00C717DC" w:rsidRPr="00C717DC" w14:paraId="7137330F" w14:textId="77777777" w:rsidTr="002453BF">
        <w:trPr>
          <w:trHeight w:val="6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F953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6453" w14:textId="2A1D2EDC" w:rsidR="00C717DC" w:rsidRPr="00C717DC" w:rsidRDefault="00C743B3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743B3">
              <w:rPr>
                <w:rFonts w:ascii="Times New Roman" w:hAnsi="Times New Roman"/>
                <w:sz w:val="24"/>
                <w:szCs w:val="24"/>
                <w:lang w:val="uk-UA"/>
              </w:rPr>
              <w:t>нтеральне харчування. Рідка, готова до вживання, ізокалорійна суміш (100 ккал/мл) для дітей віком від 3 років та дорослих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9D65" w14:textId="69CB829D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Шт. (пляшка</w:t>
            </w:r>
            <w:r w:rsidR="00C743B3"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1000 мл</w:t>
            </w:r>
            <w:r w:rsidR="00C743B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EBFB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ED02F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Харчовий продукт для спеціальних медичних цілей: ентеральне харчування  для пацієнтів з цукровим діабетом, гіперглікемією або ризиком її виникнення. </w:t>
            </w:r>
          </w:p>
          <w:p w14:paraId="4A853FF0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1.Вміст білка у 100 мл готової суміші – не менше 7 г</w:t>
            </w:r>
          </w:p>
          <w:p w14:paraId="74F2C21C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2.Джерело білку – казеїнат, частково гідролізований білок сої</w:t>
            </w:r>
          </w:p>
          <w:p w14:paraId="200DB55E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3.Енергетична цінність у 100 мл готової суміші – не менше 150 ккал.</w:t>
            </w:r>
          </w:p>
          <w:p w14:paraId="48F3A11A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4.Вміст харчових волокон у 100 мл готової суміші – не більше 1,5 г </w:t>
            </w:r>
          </w:p>
          <w:p w14:paraId="45784700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5.Вміст жирів у 100 мл готової суміші – не менше 7 г</w:t>
            </w:r>
          </w:p>
          <w:p w14:paraId="32489BB3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6.Вміст вуглеводів у 100 мл готової суміші – не більше 12 г</w:t>
            </w:r>
          </w:p>
          <w:p w14:paraId="2689ED8F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6. Осмолярність – не вище 400 мОсмол/л</w:t>
            </w:r>
          </w:p>
          <w:p w14:paraId="146B3E06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7. Від 12 років та старше, дорослих</w:t>
            </w:r>
          </w:p>
        </w:tc>
      </w:tr>
      <w:tr w:rsidR="001D7906" w:rsidRPr="00C717DC" w14:paraId="6CBDF886" w14:textId="77777777" w:rsidTr="002453BF">
        <w:trPr>
          <w:trHeight w:val="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035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1E57" w14:textId="3455230F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нтеральне харчування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743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суміш рідка, </w:t>
            </w:r>
            <w:r w:rsidRPr="00C743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готова до споживання, з високим вмістом енергії, повноцінна, збалансована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743B3">
              <w:rPr>
                <w:rFonts w:ascii="Times New Roman" w:hAnsi="Times New Roman"/>
                <w:sz w:val="24"/>
                <w:szCs w:val="24"/>
                <w:lang w:val="uk-UA"/>
              </w:rPr>
              <w:t>това до споживання через зонд. для дієтичного харчування при мальнутриції (нутритивної недостатності) для пацієнтів віком від 3 років і старше та дорослих.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ED2F" w14:textId="45575FC8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Шт. (пляшка 1000 мл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0E67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2F3A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Харчовий продукт для спеціальних медичних цілей: ентеральне харчування  </w:t>
            </w:r>
          </w:p>
          <w:p w14:paraId="221DAB8C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1.Вміст білку у 100 мл готової суміші не більше 6,0 г (4 віда білка: казеїнат, білок сироватки, білок гороху, білок сої)</w:t>
            </w:r>
          </w:p>
          <w:p w14:paraId="674AEDC7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2.Енергетична цінність у 100 мл готової суміші не менше 150 ккал </w:t>
            </w:r>
          </w:p>
          <w:p w14:paraId="4090D5EB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3.Вміст жирів у 100 мл готової суміші не менше – 5г</w:t>
            </w:r>
          </w:p>
          <w:p w14:paraId="0F6B5E0F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4.Вміст вуглеводів у 100 мл готової суміші  не менше – 18г</w:t>
            </w:r>
          </w:p>
          <w:p w14:paraId="25041614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5. Вміст харчових волокон у 100 мл готової суміші – не більше 0,1 г</w:t>
            </w:r>
          </w:p>
          <w:p w14:paraId="28CFD2B0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6. Осмолярність – не вище 360 мОсмол/л</w:t>
            </w:r>
          </w:p>
          <w:p w14:paraId="47D2601C" w14:textId="77777777" w:rsidR="001D7906" w:rsidRPr="00C717DC" w:rsidRDefault="001D7906" w:rsidP="001D7906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7. Від 3 років та старше, дорослих</w:t>
            </w:r>
          </w:p>
        </w:tc>
      </w:tr>
      <w:tr w:rsidR="00C717DC" w:rsidRPr="00C717DC" w14:paraId="171CEFAE" w14:textId="77777777" w:rsidTr="002453BF">
        <w:trPr>
          <w:trHeight w:val="4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B2A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9D5C" w14:textId="0877C69F" w:rsidR="00C717DC" w:rsidRPr="00C717DC" w:rsidRDefault="001D7906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1D7906">
              <w:rPr>
                <w:rFonts w:ascii="Times New Roman" w:hAnsi="Times New Roman"/>
                <w:sz w:val="24"/>
                <w:szCs w:val="24"/>
                <w:lang w:val="uk-UA"/>
              </w:rPr>
              <w:t>нтеральне харчування. Рідка, готова до вживання, повноцінна, збалансована суміш із високим вмістом цільних білків та помірно підвищеною енергетичною цінністю.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B5B3" w14:textId="7E7A9AEB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Шт. (пляшка</w:t>
            </w:r>
            <w:r w:rsidR="001D79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 мл</w:t>
            </w: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87CB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42A6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Харчовий продукт для спеціальних медичних цілей: ентеральне харчування  </w:t>
            </w:r>
          </w:p>
          <w:p w14:paraId="7A18B437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1.Вміст білка у 100 мл готової суміші не менше – 10 г (4 віда білка: казеїнат, білок сироватки, білок гороху, білок сої)</w:t>
            </w:r>
          </w:p>
          <w:p w14:paraId="20C6A0FC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2.Енергетична цінність у 100 мл готової суміші  не більше – 130 ккал</w:t>
            </w:r>
          </w:p>
          <w:p w14:paraId="7F1AB8E3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3. Вміст харчових волокон у 100 мл готової суміші – не більше 0,1 г</w:t>
            </w:r>
          </w:p>
          <w:p w14:paraId="3F33D866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4.Вміст жирів у 100 мл готової суміші – не менше 4 г</w:t>
            </w:r>
          </w:p>
          <w:p w14:paraId="43018551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5.Вміст вуглеводів у 100 мл готової суміші – не більше 12 г</w:t>
            </w:r>
          </w:p>
          <w:p w14:paraId="2C643A1C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6.Осмолярність – не вище 280 мОсмол/л</w:t>
            </w:r>
          </w:p>
          <w:p w14:paraId="1C161B2B" w14:textId="77777777" w:rsidR="00C717DC" w:rsidRPr="00C717DC" w:rsidRDefault="00C717DC" w:rsidP="00B23A4B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7DC">
              <w:rPr>
                <w:rFonts w:ascii="Times New Roman" w:hAnsi="Times New Roman"/>
                <w:sz w:val="24"/>
                <w:szCs w:val="24"/>
                <w:lang w:val="uk-UA"/>
              </w:rPr>
              <w:t>7. Від 12 років та старше, дорослих</w:t>
            </w:r>
          </w:p>
        </w:tc>
      </w:tr>
    </w:tbl>
    <w:p w14:paraId="44C66577" w14:textId="77777777" w:rsidR="00FD2C6D" w:rsidRDefault="00C717DC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  <w:r w:rsidRPr="00C717DC">
        <w:rPr>
          <w:rFonts w:ascii="Times New Roman" w:hAnsi="Times New Roman" w:cs="Times New Roman"/>
          <w:i/>
          <w:sz w:val="24"/>
          <w:szCs w:val="24"/>
          <w:lang w:val="uk-UA" w:eastAsia="ar-SA"/>
        </w:rPr>
        <w:tab/>
      </w:r>
    </w:p>
    <w:p w14:paraId="4C239C62" w14:textId="5DACAF1A" w:rsidR="00C717DC" w:rsidRPr="00C717DC" w:rsidRDefault="00C717DC" w:rsidP="00C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  <w:r w:rsidRPr="00C717DC">
        <w:rPr>
          <w:rFonts w:ascii="Times New Roman" w:hAnsi="Times New Roman" w:cs="Times New Roman"/>
          <w:i/>
          <w:sz w:val="24"/>
          <w:szCs w:val="24"/>
          <w:lang w:val="uk-UA" w:eastAsia="ar-SA"/>
        </w:rPr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14:paraId="3AD197AD" w14:textId="77777777" w:rsidR="00C158ED" w:rsidRDefault="00C158ED" w:rsidP="00C717D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14:paraId="0D3341F5" w14:textId="52A90FD7" w:rsidR="00C717DC" w:rsidRDefault="00C717DC" w:rsidP="00C717D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b/>
          <w:sz w:val="24"/>
          <w:szCs w:val="24"/>
          <w:lang w:val="uk-UA" w:eastAsia="en-US"/>
        </w:rPr>
        <w:t>*Всі торгові назви препаратів, які застосовуються в тендерній документації з  метою лаконічного та зрозумілого для фармацевтичних фахівців опису предмету закупівлі,  містять вираз «або еквівалент».</w:t>
      </w:r>
    </w:p>
    <w:p w14:paraId="4ECE018C" w14:textId="77777777" w:rsidR="00C158ED" w:rsidRPr="00C717DC" w:rsidRDefault="00C158ED" w:rsidP="00C717D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14:paraId="02760C21" w14:textId="77777777" w:rsidR="00C717DC" w:rsidRPr="00C717DC" w:rsidRDefault="00C717DC" w:rsidP="00C717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*</w:t>
      </w:r>
      <w:r w:rsidRPr="00C717D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Еквівалентом вважається еквівалентний товар, який є за своїми описовими, кількісними, фармакологічними та іншими характеристиками є ідентичним товару для закупівлі, зокрема має ідентичні наступні характеристики (ознаками):</w:t>
      </w:r>
    </w:p>
    <w:p w14:paraId="05BC0357" w14:textId="77777777" w:rsidR="00C717DC" w:rsidRPr="00C717DC" w:rsidRDefault="00C717DC" w:rsidP="00C717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(a) Призначення / методи / способи застосування;</w:t>
      </w:r>
    </w:p>
    <w:p w14:paraId="18D8E0AD" w14:textId="77777777" w:rsidR="00C717DC" w:rsidRPr="00C717DC" w:rsidRDefault="00C717DC" w:rsidP="00C717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(b) Кількість застосувань ( при однакових витратах);</w:t>
      </w:r>
    </w:p>
    <w:p w14:paraId="532FFC91" w14:textId="77777777" w:rsidR="00C717DC" w:rsidRPr="00C717DC" w:rsidRDefault="00C717DC" w:rsidP="00C717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(c) Склад ( в тому числі кількісний та якісний вміст складових), фізичні характеристики;</w:t>
      </w:r>
    </w:p>
    <w:p w14:paraId="72F92C50" w14:textId="77777777" w:rsidR="00C717DC" w:rsidRPr="00C717DC" w:rsidRDefault="00C717DC" w:rsidP="00C717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 xml:space="preserve">(d) Небезпечні фактори та вплив на живі організми й довкілля (протипоказання, побічна 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lastRenderedPageBreak/>
        <w:t>дія ( ефекти);</w:t>
      </w:r>
    </w:p>
    <w:p w14:paraId="5C25F54B" w14:textId="77777777" w:rsidR="00C717DC" w:rsidRPr="00C717DC" w:rsidRDefault="00C717DC" w:rsidP="00C717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(e) взаємодія з іншими лікарськими засобами (речовинами) та інші види взаємодії.</w:t>
      </w:r>
    </w:p>
    <w:p w14:paraId="37401E61" w14:textId="77777777" w:rsidR="00C717DC" w:rsidRPr="00C717DC" w:rsidRDefault="00C717DC" w:rsidP="00C717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Документальним підтвердження відповідності запропонованого учасником товару, вимогам  еквівалентності є: порівняльна таблиця якісних та інших характеристик замовленої</w:t>
      </w:r>
    </w:p>
    <w:p w14:paraId="31DA4ACD" w14:textId="77777777" w:rsidR="00C717DC" w:rsidRPr="00C717DC" w:rsidRDefault="00C717DC" w:rsidP="00C717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продукції (товарів, матеріалів, обладнання) та запропонованого їх еквіваленту.</w:t>
      </w:r>
    </w:p>
    <w:p w14:paraId="1E7472F7" w14:textId="77777777" w:rsidR="00C717DC" w:rsidRPr="00C717DC" w:rsidRDefault="00C717DC" w:rsidP="00C717DC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14:paraId="746B350F" w14:textId="77777777" w:rsidR="00C717DC" w:rsidRPr="00C717DC" w:rsidRDefault="00C717DC" w:rsidP="00C717DC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Загальні вимоги : </w:t>
      </w:r>
    </w:p>
    <w:p w14:paraId="4FDF7DA7" w14:textId="77777777" w:rsidR="00C717DC" w:rsidRPr="00C717DC" w:rsidRDefault="00C717DC" w:rsidP="00C717DC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bCs/>
          <w:sz w:val="24"/>
          <w:szCs w:val="24"/>
          <w:lang w:val="uk-UA" w:eastAsia="en-US"/>
        </w:rPr>
        <w:t>1.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C717D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Товар має бути зареєстрований в Україні. Для підтвердження  учасник надає  копію сертифіката відповідності  спеціальних  харчових продуктів  та копію  документу  щодо відповідності  товару  вимогам діючого  санітарного  законодавства, у разі  якщо ця норма є обов’язковою  відповідно до  норм діючого законодавства. </w:t>
      </w:r>
    </w:p>
    <w:p w14:paraId="4BE45D96" w14:textId="77777777" w:rsidR="00C717DC" w:rsidRPr="00C717DC" w:rsidRDefault="00C717DC" w:rsidP="00C717D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sz w:val="24"/>
          <w:szCs w:val="24"/>
          <w:lang w:val="uk-UA" w:eastAsia="en-US"/>
        </w:rPr>
        <w:t>2. Термін придатності предмету закупівлі на момент поставки має становити не менше 70 відсотків від задекларованого виробником терміну споживання з моменту поставки. Для підтвердження учасник надає гарантійний лист про термін придатності. У разі якщо термін придатності менший ніж зазначено в даному пункті то поставка з меншим терміном придатності здійснюється лише за згодою Замовника.</w:t>
      </w:r>
    </w:p>
    <w:p w14:paraId="12E72F3E" w14:textId="77777777" w:rsidR="00C717DC" w:rsidRPr="00C717DC" w:rsidRDefault="00C717DC" w:rsidP="00C717D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sz w:val="24"/>
          <w:szCs w:val="24"/>
          <w:lang w:val="uk-UA" w:eastAsia="en-US"/>
        </w:rPr>
        <w:t>3. Строк поставки предмету закупівлі повинен становити не більше 10  днів з моменту отримання письмової чи усної заявки. Для підтвердження учасник надає гарантійний лист про строк поставки предмету закупівлі.</w:t>
      </w:r>
    </w:p>
    <w:p w14:paraId="4A0C18A4" w14:textId="77777777" w:rsidR="00C717DC" w:rsidRPr="00C717DC" w:rsidRDefault="00C717DC" w:rsidP="00C717D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sz w:val="24"/>
          <w:szCs w:val="24"/>
          <w:lang w:val="uk-UA" w:eastAsia="en-US"/>
        </w:rPr>
        <w:t>4. У разі, якщо Учасник пропонує до закупівлі-еквівалент, він повинен надати заключення  про еквівалентність, яка видана державною установою, яка акредитована на проведення робіт із гігієнічної регламентації.</w:t>
      </w:r>
    </w:p>
    <w:p w14:paraId="4D1A317B" w14:textId="77777777" w:rsidR="00C717DC" w:rsidRPr="00C717DC" w:rsidRDefault="00C717DC" w:rsidP="00C717D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sz w:val="24"/>
          <w:szCs w:val="24"/>
          <w:lang w:val="uk-UA" w:eastAsia="en-US"/>
        </w:rPr>
        <w:t>5. Міжнародний сертифікат якості Виробника щодо підтвердження якості виробництва стандартам належної практики.</w:t>
      </w:r>
    </w:p>
    <w:p w14:paraId="00E916BA" w14:textId="77777777" w:rsidR="00C717DC" w:rsidRDefault="00C717DC" w:rsidP="00C717D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sz w:val="24"/>
          <w:szCs w:val="24"/>
          <w:lang w:val="uk-UA" w:eastAsia="en-US"/>
        </w:rPr>
        <w:t>6.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14:paraId="32318885" w14:textId="77777777" w:rsidR="00C158ED" w:rsidRPr="004C0483" w:rsidRDefault="00C158ED" w:rsidP="00C717DC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09198549" w14:textId="77777777" w:rsidR="00C717DC" w:rsidRPr="00C717DC" w:rsidRDefault="00C717DC" w:rsidP="00C717DC">
      <w:pPr>
        <w:shd w:val="clear" w:color="auto" w:fill="FFFFFF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визначення технічних вимог (МТВ) до предмета закупівлі</w:t>
      </w:r>
    </w:p>
    <w:p w14:paraId="331AFF56" w14:textId="77777777" w:rsidR="00C717DC" w:rsidRPr="00C717DC" w:rsidRDefault="00C717DC" w:rsidP="00C717D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При формуванні технічних вимог до продукту, який планується закупити, Замовником обов’язково враховуються висновки лікаря для кожного окремо взятого пацієнта, якому закупляється спеціальне харчування (суміші). Всі ці призначення містяться в історії хвороби таких пацієнтів. Вони являються обґрунтованою підставою того, що Замовнику необхідна закупівля саме продукції з конкретними технічними вимогами, оскільки саме лікарем призначається спец.харчування із тими необхідними характеристиками та розрахунками, які максимально дозволяють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забезпечити можливість відновлення функцій, втрачених за рахунок зміненого стану на фоні захворювання.</w:t>
      </w:r>
    </w:p>
    <w:p w14:paraId="2DC265F7" w14:textId="77777777" w:rsidR="00C717DC" w:rsidRPr="00C717DC" w:rsidRDefault="00C717DC" w:rsidP="00C717D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Замовник 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 має законного права, окрім лікаря, який проводив огляд пацієнта та призначав лікування, 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замінювати останньому призначені спеціальні продукти харчування (суміші) з конкретно визначеними медичними характеристиками та необхідним розрахунком в тій чи іншій кількості необхідних компонентів у вмісті продукту.</w:t>
      </w:r>
    </w:p>
    <w:p w14:paraId="15CE7D27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Цьому є ряд законодавчих підстав:</w:t>
      </w:r>
    </w:p>
    <w:p w14:paraId="2DA3F6C8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Відповідно до ЗУ «Про Основи законодавства України про охорону здоров'я» від 19.11.1992 року, 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статтею 74 передбачено</w:t>
      </w:r>
    </w:p>
    <w:p w14:paraId="063F1BEE" w14:textId="77777777" w:rsidR="00C717DC" w:rsidRPr="00C717DC" w:rsidRDefault="00C717DC" w:rsidP="00C717DC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 xml:space="preserve"> – медичною діяльністю можуть займатися особи, які мають відповідну спеціальну освіту і відповідають єдиним кваліфікаційним вимогам</w:t>
      </w:r>
    </w:p>
    <w:p w14:paraId="3E1F3D4F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2. Відповідно до Конвенції про права осіб з інвалідністю від 13.12.2006 року, статтею 25 передбачено:</w:t>
      </w:r>
    </w:p>
    <w:p w14:paraId="4F7FD89A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- держави-учасниці надають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послуги у сфері охорони здоров'я, які необхідні особам з інвалідністю безпосередньо з причини їхньої інвалідності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, зокрема послуги з ранньої діагностики, а в підхожих випадках - корекції та послуги,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покликані звести до мінімуму та запобігти подальшому виникненню інвалідності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A56675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3. Відповідно до ЗУ «Основи законодавства України про охорону здоров'я» від 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lastRenderedPageBreak/>
        <w:t>19.11.1992 року, </w:t>
      </w:r>
      <w:r w:rsidRPr="00C717DC">
        <w:rPr>
          <w:rFonts w:ascii="Times New Roman" w:hAnsi="Times New Roman" w:cs="Times New Roman"/>
          <w:sz w:val="24"/>
          <w:szCs w:val="24"/>
          <w:lang w:val="uk-UA" w:eastAsia="en-US"/>
        </w:rPr>
        <w:t>передбачено:</w:t>
      </w:r>
    </w:p>
    <w:p w14:paraId="42588087" w14:textId="3BFC3FDC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- медична допомога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 -</w:t>
      </w:r>
      <w:r w:rsidR="00245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діяльність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професійно підготовлених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 медичних працівників,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спрямована на профілактику, діагностику, лікування та реабілітацію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 у зв'язку з хворобами, травмами, отруєннями і патологічними станами.</w:t>
      </w:r>
    </w:p>
    <w:p w14:paraId="584795C8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4. Відповідно до Конституції України</w:t>
      </w:r>
      <w:r w:rsidRPr="00C717DC">
        <w:rPr>
          <w:rFonts w:ascii="Times New Roman" w:hAnsi="Times New Roman" w:cs="Times New Roman"/>
          <w:sz w:val="24"/>
          <w:szCs w:val="24"/>
          <w:lang w:val="uk-UA" w:eastAsia="en-US"/>
        </w:rPr>
        <w:t>,</w:t>
      </w:r>
    </w:p>
    <w:p w14:paraId="4D49F239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стаття 3 передбачає -</w:t>
      </w:r>
    </w:p>
    <w:p w14:paraId="28DE4302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- Людина,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її життя і здоров'я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, честь і гідність, недоторканність і безпека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визнаються в Україні найвищою соціальною цінністю.</w:t>
      </w:r>
    </w:p>
    <w:p w14:paraId="71BD7672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стаття 49 передбачає -</w:t>
      </w:r>
    </w:p>
    <w:p w14:paraId="0C75E1A3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- Кожен має право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 охорону здоров'я, 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медичну допомогу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 та медичне страхування.</w:t>
      </w:r>
    </w:p>
    <w:p w14:paraId="215DE530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717DC">
        <w:rPr>
          <w:rFonts w:ascii="Times New Roman" w:hAnsi="Times New Roman" w:cs="Times New Roman"/>
          <w:sz w:val="24"/>
          <w:szCs w:val="24"/>
          <w:lang w:val="uk-UA" w:eastAsia="en-US"/>
        </w:rPr>
        <w:t>5. Відповідно до ЗУ «Про охорону дитинства» від 26.04.2001 року,</w:t>
      </w:r>
    </w:p>
    <w:p w14:paraId="2A2E140B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Стаття 6.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 Право на життя та охорону здоров’я</w:t>
      </w:r>
    </w:p>
    <w:p w14:paraId="44C3A6EA" w14:textId="77777777" w:rsidR="00C717DC" w:rsidRPr="00C717DC" w:rsidRDefault="00C717DC" w:rsidP="00C717D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DC">
        <w:rPr>
          <w:rFonts w:ascii="Times New Roman" w:hAnsi="Times New Roman" w:cs="Times New Roman"/>
          <w:sz w:val="24"/>
          <w:szCs w:val="24"/>
          <w:lang w:val="uk-UA"/>
        </w:rPr>
        <w:t>Держава гарантує дитині право на охорону здоров’я, безоплатну</w:t>
      </w:r>
      <w:r w:rsidRPr="00C717DC">
        <w:rPr>
          <w:rFonts w:ascii="Times New Roman" w:hAnsi="Times New Roman" w:cs="Times New Roman"/>
          <w:b/>
          <w:bCs/>
          <w:sz w:val="24"/>
          <w:szCs w:val="24"/>
          <w:lang w:val="uk-UA"/>
        </w:rPr>
        <w:t> кваліфіковану медичну допомогу в державних і комунальних закладах охорони здоров’я</w:t>
      </w:r>
      <w:r w:rsidRPr="00C717DC">
        <w:rPr>
          <w:rFonts w:ascii="Times New Roman" w:hAnsi="Times New Roman" w:cs="Times New Roman"/>
          <w:sz w:val="24"/>
          <w:szCs w:val="24"/>
          <w:lang w:val="uk-UA"/>
        </w:rPr>
        <w:t>, сприяє створенню безпечних умов для життя і здорового розвитку дитини, раціонального харчування, формуванню навичок здорового способу життя.</w:t>
      </w:r>
    </w:p>
    <w:p w14:paraId="20E72C56" w14:textId="77777777" w:rsidR="00C717DC" w:rsidRPr="00C717DC" w:rsidRDefault="00C717DC" w:rsidP="00C717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6D6C51D0" w14:textId="77777777" w:rsidR="00C717DC" w:rsidRPr="00C717DC" w:rsidRDefault="00C717DC">
      <w:pPr>
        <w:spacing w:after="200"/>
        <w:ind w:right="-1"/>
        <w:jc w:val="both"/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</w:pPr>
    </w:p>
    <w:p w14:paraId="59146D16" w14:textId="77777777" w:rsidR="00C717DC" w:rsidRPr="00C717DC" w:rsidRDefault="00C717DC">
      <w:pPr>
        <w:spacing w:after="200"/>
        <w:ind w:right="-1"/>
        <w:jc w:val="both"/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</w:pPr>
    </w:p>
    <w:p w14:paraId="318B9AB4" w14:textId="77777777" w:rsidR="00C717DC" w:rsidRPr="00C717DC" w:rsidRDefault="00C717DC">
      <w:pPr>
        <w:spacing w:after="200"/>
        <w:ind w:right="-1"/>
        <w:jc w:val="both"/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</w:pPr>
    </w:p>
    <w:p w14:paraId="1B5C0124" w14:textId="7FA9D635" w:rsidR="000D7179" w:rsidRPr="00C717DC" w:rsidRDefault="00000000">
      <w:pPr>
        <w:spacing w:after="200"/>
        <w:ind w:right="-1"/>
        <w:jc w:val="both"/>
        <w:rPr>
          <w:lang w:val="uk-UA"/>
        </w:rPr>
      </w:pPr>
      <w:r w:rsidRPr="00C717DC"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  <w:t>Запропонований товар не повинен порушувати вимоги 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Федерації» та інших норм діючого законодавства України стосовно санкцій.</w:t>
      </w:r>
    </w:p>
    <w:p w14:paraId="328D13C8" w14:textId="754978DB" w:rsidR="000D7179" w:rsidRPr="00C717DC" w:rsidRDefault="00000000">
      <w:pPr>
        <w:pStyle w:val="Standard"/>
        <w:jc w:val="both"/>
      </w:pPr>
      <w:r w:rsidRPr="00C717DC">
        <w:rPr>
          <w:b/>
          <w:color w:val="000000"/>
        </w:rPr>
        <w:t xml:space="preserve">      </w:t>
      </w:r>
    </w:p>
    <w:p w14:paraId="693CA76F" w14:textId="77777777" w:rsidR="000D7179" w:rsidRPr="00C717DC" w:rsidRDefault="00000000">
      <w:pPr>
        <w:pStyle w:val="Standard"/>
        <w:ind w:firstLine="709"/>
        <w:jc w:val="both"/>
      </w:pPr>
      <w:r w:rsidRPr="00C717DC">
        <w:rPr>
          <w:b/>
          <w:color w:val="000000"/>
        </w:rPr>
        <w:t xml:space="preserve">   </w:t>
      </w:r>
    </w:p>
    <w:p w14:paraId="56F04DFA" w14:textId="77777777" w:rsidR="000D7179" w:rsidRPr="00C717DC" w:rsidRDefault="000D7179">
      <w:pPr>
        <w:pStyle w:val="Standard"/>
        <w:rPr>
          <w:b/>
          <w:bCs/>
        </w:rPr>
      </w:pPr>
    </w:p>
    <w:p w14:paraId="5BEC44F0" w14:textId="77777777" w:rsidR="000D7179" w:rsidRPr="00C717DC" w:rsidRDefault="00000000">
      <w:pPr>
        <w:pStyle w:val="Standard"/>
        <w:widowControl w:val="0"/>
        <w:ind w:left="1134" w:right="425" w:hanging="1134"/>
        <w:jc w:val="both"/>
      </w:pPr>
      <w:r w:rsidRPr="00C717DC">
        <w:rPr>
          <w:b/>
          <w:bCs/>
          <w:color w:val="000000"/>
        </w:rPr>
        <w:t xml:space="preserve">Примітка: </w:t>
      </w:r>
      <w:r w:rsidRPr="00C717DC">
        <w:rPr>
          <w:i/>
          <w:iCs/>
          <w:color w:val="000000"/>
        </w:rPr>
        <w:t>Для підтвердження згоди з вимогами Замовника Учасник подає у складі пропозиції інформацію, зазначену у цьому додатку, завірену печаткою і власним підписом. Для учасників, які здійснюють діяльність без печатки згідно з чинним законодавством, вимагається лише підпис.</w:t>
      </w:r>
    </w:p>
    <w:sectPr w:rsidR="000D7179" w:rsidRPr="00C717DC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011D" w14:textId="77777777" w:rsidR="007A3E61" w:rsidRDefault="007A3E61">
      <w:r>
        <w:separator/>
      </w:r>
    </w:p>
  </w:endnote>
  <w:endnote w:type="continuationSeparator" w:id="0">
    <w:p w14:paraId="56A58D0D" w14:textId="77777777" w:rsidR="007A3E61" w:rsidRDefault="007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8223" w14:textId="77777777" w:rsidR="007A3E61" w:rsidRDefault="007A3E61">
      <w:r>
        <w:rPr>
          <w:color w:val="000000"/>
        </w:rPr>
        <w:separator/>
      </w:r>
    </w:p>
  </w:footnote>
  <w:footnote w:type="continuationSeparator" w:id="0">
    <w:p w14:paraId="1C57937C" w14:textId="77777777" w:rsidR="007A3E61" w:rsidRDefault="007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E3649"/>
    <w:multiLevelType w:val="multilevel"/>
    <w:tmpl w:val="787A6AFA"/>
    <w:styleLink w:val="WWNum1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15240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79"/>
    <w:rsid w:val="000D7179"/>
    <w:rsid w:val="001D7906"/>
    <w:rsid w:val="002453BF"/>
    <w:rsid w:val="004C0483"/>
    <w:rsid w:val="0071428A"/>
    <w:rsid w:val="007A3E61"/>
    <w:rsid w:val="00851721"/>
    <w:rsid w:val="00971E5C"/>
    <w:rsid w:val="00C158ED"/>
    <w:rsid w:val="00C717DC"/>
    <w:rsid w:val="00C743B3"/>
    <w:rsid w:val="00DE0B60"/>
    <w:rsid w:val="00FD2C6D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F3B3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">
    <w:name w:val="Обычный2"/>
    <w:pPr>
      <w:widowControl/>
      <w:suppressAutoHyphens/>
      <w:spacing w:line="276" w:lineRule="auto"/>
    </w:pPr>
    <w:rPr>
      <w:rFonts w:ascii="Times New Roman" w:eastAsia="Arial Unicode MS" w:hAnsi="Times New Roman" w:cs="Mangal"/>
      <w:color w:val="000000"/>
      <w:kern w:val="3"/>
      <w:sz w:val="24"/>
      <w:szCs w:val="24"/>
      <w:lang w:eastAsia="hi-IN" w:bidi="hi-IN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pPr>
      <w:widowControl/>
      <w:suppressAutoHyphens/>
    </w:pPr>
    <w:rPr>
      <w:rFonts w:cs="Times New Roman"/>
      <w:sz w:val="22"/>
      <w:szCs w:val="22"/>
      <w:lang w:eastAsia="en-US"/>
    </w:rPr>
  </w:style>
  <w:style w:type="paragraph" w:styleId="a6">
    <w:name w:val="List Paragraph"/>
    <w:basedOn w:val="Standar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7">
    <w:name w:val="Strong"/>
    <w:basedOn w:val="a0"/>
    <w:rPr>
      <w:rFonts w:cs="Times New Roman"/>
      <w:b/>
    </w:rPr>
  </w:style>
  <w:style w:type="character" w:customStyle="1" w:styleId="FontStyle18">
    <w:name w:val="Font Style18"/>
    <w:rPr>
      <w:rFonts w:ascii="Microsoft Uighur" w:eastAsia="Microsoft Uighur" w:hAnsi="Microsoft Uighur" w:cs="Microsoft Uighur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paragraph" w:styleId="a8">
    <w:name w:val="Body Text"/>
    <w:basedOn w:val="a"/>
    <w:pPr>
      <w:widowControl/>
      <w:suppressAutoHyphens w:val="0"/>
      <w:spacing w:after="120"/>
      <w:textAlignment w:val="auto"/>
    </w:pPr>
    <w:rPr>
      <w:rFonts w:cs="Calibri"/>
      <w:lang w:val="uk-UA"/>
    </w:rPr>
  </w:style>
  <w:style w:type="character" w:customStyle="1" w:styleId="a9">
    <w:name w:val="Основний текст Знак"/>
    <w:basedOn w:val="a0"/>
    <w:rPr>
      <w:rFonts w:cs="Calibri"/>
      <w:lang w:val="uk-UA"/>
    </w:rPr>
  </w:style>
  <w:style w:type="paragraph" w:customStyle="1" w:styleId="FR2">
    <w:name w:val="FR2"/>
    <w:pPr>
      <w:suppressAutoHyphens/>
      <w:jc w:val="both"/>
      <w:textAlignment w:val="auto"/>
    </w:pPr>
    <w:rPr>
      <w:rFonts w:ascii="Arial" w:eastAsia="Times New Roman" w:hAnsi="Arial"/>
      <w:sz w:val="22"/>
      <w:lang w:eastAsia="zh-CN"/>
    </w:rPr>
  </w:style>
  <w:style w:type="paragraph" w:customStyle="1" w:styleId="aa">
    <w:name w:val="Готовый"/>
    <w:basedOn w:val="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textAlignment w:val="auto"/>
    </w:pPr>
    <w:rPr>
      <w:rFonts w:ascii="Courier New" w:eastAsia="Times New Roman" w:hAnsi="Courier New" w:cs="Courier New"/>
      <w:lang w:val="uk-UA" w:eastAsia="zh-CN"/>
    </w:rPr>
  </w:style>
  <w:style w:type="paragraph" w:customStyle="1" w:styleId="21">
    <w:name w:val="Основной текст 21"/>
    <w:basedOn w:val="a"/>
    <w:pPr>
      <w:textAlignment w:val="auto"/>
    </w:pPr>
    <w:rPr>
      <w:rFonts w:ascii="Times New Roman" w:eastAsia="Times New Roman" w:hAnsi="Times New Roman" w:cs="Times New Roman"/>
      <w:kern w:val="3"/>
      <w:sz w:val="28"/>
      <w:szCs w:val="24"/>
      <w:lang w:val="uk-UA" w:eastAsia="zh-C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6285</Words>
  <Characters>3583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4</cp:revision>
  <cp:lastPrinted>2023-05-29T12:25:00Z</cp:lastPrinted>
  <dcterms:created xsi:type="dcterms:W3CDTF">2023-05-29T09:55:00Z</dcterms:created>
  <dcterms:modified xsi:type="dcterms:W3CDTF">2023-05-30T08:28:00Z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ICV">
    <vt:lpwstr>CB7E18C6483D40D6AF8F3339260013D2</vt:lpwstr>
  </property>
  <property fmtid="{D5CDD505-2E9C-101B-9397-08002B2CF9AE}" pid="4" name="KSOProductBuildVer">
    <vt:lpwstr>1049-11.2.0.11440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2023-05-23T09:33:33Z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dbcc5236-8989-41c5-8728-8da20285280a</vt:lpwstr>
  </property>
  <property fmtid="{D5CDD505-2E9C-101B-9397-08002B2CF9AE}" pid="10" name="MSIP_Label_defa4170-0d19-0005-0004-bc88714345d2_ActionId">
    <vt:lpwstr>3c6d5c87-0d28-44fa-bbec-24244607432b</vt:lpwstr>
  </property>
  <property fmtid="{D5CDD505-2E9C-101B-9397-08002B2CF9AE}" pid="11" name="MSIP_Label_defa4170-0d19-0005-0004-bc88714345d2_ContentBits">
    <vt:lpwstr>0</vt:lpwstr>
  </property>
</Properties>
</file>