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ECF" w14:textId="77777777" w:rsidR="002E1C3A" w:rsidRDefault="00000000">
      <w:pPr>
        <w:pStyle w:val="Standard"/>
        <w:jc w:val="center"/>
        <w:textAlignment w:val="top"/>
      </w:pPr>
      <w:r>
        <w:rPr>
          <w:rFonts w:eastAsia="Times New Roman"/>
          <w:b/>
        </w:rPr>
        <w:t>Оголошення про проведення відкритих торгів*</w:t>
      </w:r>
    </w:p>
    <w:p w14:paraId="07B4575F" w14:textId="77777777" w:rsidR="002E1C3A" w:rsidRDefault="002E1C3A">
      <w:pPr>
        <w:pStyle w:val="Standard"/>
        <w:jc w:val="center"/>
        <w:textAlignment w:val="top"/>
        <w:rPr>
          <w:rFonts w:eastAsia="Times New Roman"/>
          <w:b/>
        </w:rPr>
      </w:pPr>
    </w:p>
    <w:tbl>
      <w:tblPr>
        <w:tblW w:w="9936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5797"/>
      </w:tblGrid>
      <w:tr w:rsidR="002E1C3A" w14:paraId="4D554480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88585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0707" w14:textId="77777777" w:rsidR="002E1C3A" w:rsidRDefault="00000000">
            <w:pPr>
              <w:pStyle w:val="Standard"/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>Комунальне некомерційне підприємство «Подільський регіональний центр онкології Вінницької обласної Ради»</w:t>
            </w:r>
          </w:p>
        </w:tc>
      </w:tr>
      <w:tr w:rsidR="002E1C3A" w14:paraId="6DA3590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BBBD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C2850" w14:textId="77777777" w:rsidR="002E1C3A" w:rsidRDefault="00000000">
            <w:pPr>
              <w:pStyle w:val="Standard"/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>Україна, 21029, м. Вінниця, Хмельницьке шосе, 84</w:t>
            </w:r>
          </w:p>
        </w:tc>
      </w:tr>
      <w:tr w:rsidR="002E1C3A" w14:paraId="27A71E4C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C5FAE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F57C6" w14:textId="77777777" w:rsidR="002E1C3A" w:rsidRDefault="00000000">
            <w:pPr>
              <w:pStyle w:val="Standard"/>
              <w:widowControl w:val="0"/>
            </w:pPr>
            <w:r>
              <w:rPr>
                <w:b/>
              </w:rPr>
              <w:t>05484161</w:t>
            </w:r>
          </w:p>
        </w:tc>
      </w:tr>
      <w:tr w:rsidR="002E1C3A" w14:paraId="7F9370C1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1B81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1228" w14:textId="77777777" w:rsidR="002E1C3A" w:rsidRDefault="00000000">
            <w:pPr>
              <w:pStyle w:val="rvps2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2E1C3A" w14:paraId="68BAD025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98F6D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0376B" w14:textId="79799775" w:rsidR="002E1C3A" w:rsidRDefault="00000000">
            <w:pPr>
              <w:pStyle w:val="Default"/>
              <w:widowControl w:val="0"/>
              <w:tabs>
                <w:tab w:val="left" w:pos="5642"/>
              </w:tabs>
              <w:spacing w:line="264" w:lineRule="auto"/>
              <w:ind w:right="99"/>
              <w:jc w:val="both"/>
            </w:pPr>
            <w:r>
              <w:rPr>
                <w:b/>
                <w:color w:val="auto"/>
                <w:lang w:val="uk-UA" w:eastAsia="ru-RU"/>
              </w:rPr>
              <w:t xml:space="preserve">«код Основного словника національного класифікатора України ДК 021:2015 «Єдиний закупівельний словник» </w:t>
            </w:r>
            <w:r>
              <w:rPr>
                <w:rFonts w:eastAsia="Tahoma"/>
                <w:b/>
                <w:color w:val="auto"/>
                <w:lang w:val="uk-UA" w:bidi="hi-IN"/>
              </w:rPr>
              <w:t xml:space="preserve">– </w:t>
            </w:r>
            <w:r w:rsidR="00CF75B9" w:rsidRPr="0030110B">
              <w:rPr>
                <w:rFonts w:eastAsia="Calibri"/>
                <w:b/>
                <w:lang w:val="uk-UA"/>
              </w:rPr>
              <w:t>15880000-0-Спеціальні продукти харчування, збагачені поживними речовинами</w:t>
            </w:r>
          </w:p>
        </w:tc>
      </w:tr>
      <w:tr w:rsidR="002E1C3A" w14:paraId="421F447F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1832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D2091" w14:textId="4830C56E" w:rsidR="002E1C3A" w:rsidRDefault="00000000">
            <w:pPr>
              <w:pStyle w:val="Standard"/>
              <w:widowControl w:val="0"/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1. </w:t>
            </w:r>
            <w:r w:rsidR="00CF75B9" w:rsidRPr="0030110B">
              <w:rPr>
                <w:rFonts w:eastAsia="Calibri"/>
                <w:b/>
              </w:rPr>
              <w:t>Спеціальні продукти харчування, збагачені поживними речовинами</w:t>
            </w:r>
          </w:p>
          <w:p w14:paraId="4F170B74" w14:textId="77777777" w:rsidR="002E1C3A" w:rsidRDefault="00000000">
            <w:pPr>
              <w:pStyle w:val="Standard"/>
              <w:widowControl w:val="0"/>
              <w:jc w:val="both"/>
            </w:pPr>
            <w:r>
              <w:rPr>
                <w:rFonts w:eastAsia="Times New Roman"/>
                <w:b/>
                <w:lang w:eastAsia="ru-RU"/>
              </w:rPr>
              <w:t>Більш детально про обсяг товарів зазначено у Додатку 2 до тендерної</w:t>
            </w:r>
            <w:r>
              <w:rPr>
                <w:b/>
              </w:rPr>
              <w:t xml:space="preserve"> документації.</w:t>
            </w:r>
          </w:p>
        </w:tc>
      </w:tr>
      <w:tr w:rsidR="002E1C3A" w14:paraId="0A9A4442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3906E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8B30F" w14:textId="77777777" w:rsidR="002E1C3A" w:rsidRDefault="00000000">
            <w:pPr>
              <w:pStyle w:val="Standard"/>
              <w:widowControl w:val="0"/>
              <w:spacing w:line="264" w:lineRule="auto"/>
              <w:jc w:val="both"/>
            </w:pPr>
            <w:r>
              <w:rPr>
                <w:b/>
              </w:rPr>
              <w:t>21029, м. Вінниця,  вул. Хмельницьке шосе, 84</w:t>
            </w:r>
          </w:p>
        </w:tc>
      </w:tr>
      <w:tr w:rsidR="002E1C3A" w14:paraId="26C47844" w14:textId="77777777">
        <w:trPr>
          <w:trHeight w:val="111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94A8D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F45D" w14:textId="3512BC34" w:rsidR="002E1C3A" w:rsidRPr="00E446F7" w:rsidRDefault="000D3375">
            <w:pPr>
              <w:pStyle w:val="rvps2"/>
              <w:widowControl w:val="0"/>
              <w:shd w:val="clear" w:color="auto" w:fill="FFFFFF"/>
              <w:spacing w:before="0" w:after="0" w:line="288" w:lineRule="auto"/>
              <w:jc w:val="both"/>
            </w:pPr>
            <w:r w:rsidRPr="00E446F7">
              <w:rPr>
                <w:b/>
                <w:lang w:val="en-US"/>
              </w:rPr>
              <w:t>251</w:t>
            </w:r>
            <w:r w:rsidRPr="00E446F7">
              <w:rPr>
                <w:b/>
                <w:lang w:val="uk-UA"/>
              </w:rPr>
              <w:t xml:space="preserve"> </w:t>
            </w:r>
            <w:r w:rsidRPr="00E446F7">
              <w:rPr>
                <w:b/>
                <w:lang w:val="en-US"/>
              </w:rPr>
              <w:t>000</w:t>
            </w:r>
            <w:r w:rsidR="00000000" w:rsidRPr="00E446F7">
              <w:rPr>
                <w:b/>
                <w:lang w:val="uk-UA"/>
              </w:rPr>
              <w:t>,00 (</w:t>
            </w:r>
            <w:r w:rsidRPr="00E446F7">
              <w:rPr>
                <w:b/>
                <w:lang w:val="uk-UA"/>
              </w:rPr>
              <w:t>двісті п’ятдесят одна</w:t>
            </w:r>
            <w:r w:rsidR="00000000" w:rsidRPr="00E446F7">
              <w:rPr>
                <w:b/>
                <w:lang w:val="uk-UA"/>
              </w:rPr>
              <w:t xml:space="preserve"> тисяча гривень) у тому числі ПДВ</w:t>
            </w:r>
          </w:p>
        </w:tc>
      </w:tr>
      <w:tr w:rsidR="002E1C3A" w14:paraId="3CDCDC85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926E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7BF9" w14:textId="166A973A" w:rsidR="002E1C3A" w:rsidRDefault="00000000">
            <w:pPr>
              <w:pStyle w:val="Standard"/>
              <w:widowControl w:val="0"/>
            </w:pPr>
            <w:r>
              <w:rPr>
                <w:rFonts w:eastAsia="Times New Roman"/>
                <w:b/>
                <w:lang w:eastAsia="ru-RU"/>
              </w:rPr>
              <w:t xml:space="preserve">до </w:t>
            </w:r>
            <w:r w:rsidR="00CF75B9">
              <w:rPr>
                <w:rFonts w:eastAsia="Times New Roman"/>
                <w:b/>
                <w:lang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>1.</w:t>
            </w:r>
            <w:r w:rsidR="00CF75B9">
              <w:rPr>
                <w:rFonts w:eastAsia="Times New Roman"/>
                <w:b/>
                <w:lang w:eastAsia="ru-RU"/>
              </w:rPr>
              <w:t>12</w:t>
            </w:r>
            <w:r>
              <w:rPr>
                <w:rFonts w:eastAsia="Times New Roman"/>
                <w:b/>
                <w:lang w:eastAsia="ru-RU"/>
              </w:rPr>
              <w:t>.2023 року</w:t>
            </w:r>
          </w:p>
        </w:tc>
      </w:tr>
      <w:tr w:rsidR="002E1C3A" w14:paraId="47B652C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A4B9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0ED8" w14:textId="665DE966" w:rsidR="002E1C3A" w:rsidRDefault="00000000">
            <w:pPr>
              <w:pStyle w:val="a8"/>
              <w:widowControl w:val="0"/>
              <w:spacing w:before="0" w:after="0"/>
              <w:jc w:val="both"/>
            </w:pPr>
            <w:r>
              <w:rPr>
                <w:b/>
              </w:rPr>
              <w:t>«</w:t>
            </w:r>
            <w:r w:rsidR="00A7660C">
              <w:rPr>
                <w:b/>
                <w:lang w:val="ru-RU"/>
              </w:rPr>
              <w:t xml:space="preserve"> </w:t>
            </w:r>
            <w:r w:rsidR="00E446F7">
              <w:rPr>
                <w:b/>
                <w:lang w:val="ru-RU"/>
              </w:rPr>
              <w:t>7</w:t>
            </w:r>
            <w:r w:rsidR="00A7660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» червня 2023 року до 16:00 год.</w:t>
            </w:r>
          </w:p>
        </w:tc>
      </w:tr>
      <w:tr w:rsidR="002E1C3A" w14:paraId="563A5ED9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38479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DF56B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>
              <w:rPr>
                <w:rFonts w:eastAsia="Times New Roman"/>
                <w:b/>
                <w:bCs/>
              </w:rPr>
              <w:t>післяоплата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; </w:t>
            </w:r>
          </w:p>
          <w:p w14:paraId="5FCCCD15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 w14:paraId="4EE475D8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14:paraId="2D89C9CB" w14:textId="77777777" w:rsidR="002E1C3A" w:rsidRDefault="00000000">
            <w:pPr>
              <w:pStyle w:val="Standard"/>
              <w:jc w:val="both"/>
              <w:textAlignment w:val="top"/>
            </w:pPr>
            <w:r>
              <w:rPr>
                <w:rFonts w:eastAsia="Times New Roman"/>
                <w:b/>
                <w:bCs/>
              </w:rPr>
              <w:t xml:space="preserve">Примітка:  </w:t>
            </w:r>
            <w:r>
              <w:rPr>
                <w:rFonts w:eastAsia="Times New Roman"/>
              </w:rPr>
              <w:t xml:space="preserve">Розрахунки за Договором проводяться на підставі накладних шляхом перерахування грошових коштів на розрахунковий рахунок Постачальника. </w:t>
            </w:r>
          </w:p>
          <w:p w14:paraId="1A0F40EC" w14:textId="77777777" w:rsidR="002E1C3A" w:rsidRDefault="00000000">
            <w:pPr>
              <w:pStyle w:val="Standard"/>
              <w:widowControl w:val="0"/>
              <w:shd w:val="clear" w:color="auto" w:fill="FFFFFF"/>
              <w:jc w:val="both"/>
            </w:pPr>
            <w:r>
              <w:rPr>
                <w:rFonts w:eastAsia="Times New Roman"/>
              </w:rPr>
              <w:t>Розрахунки проводяться протягом 30 календарних днів з моменту отримання товару. У разі затримки бюджетного фінансування,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напрямом.</w:t>
            </w:r>
          </w:p>
        </w:tc>
      </w:tr>
      <w:tr w:rsidR="002E1C3A" w14:paraId="6486068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7EC1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7660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встановлене тендерною документацією</w:t>
            </w:r>
          </w:p>
        </w:tc>
      </w:tr>
      <w:tr w:rsidR="002E1C3A" w14:paraId="334F72A2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672F2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45CF8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>Забезпечення тендерної пропозиції не вимагається</w:t>
            </w:r>
          </w:p>
        </w:tc>
      </w:tr>
      <w:tr w:rsidR="002E1C3A" w14:paraId="52E56A91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70D8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 xml:space="preserve">ата та час розкриття тендерних </w:t>
            </w:r>
            <w:r>
              <w:rPr>
                <w:rFonts w:eastAsia="Times New Roman"/>
                <w:bCs/>
              </w:rPr>
              <w:lastRenderedPageBreak/>
              <w:t>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EC696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b/>
              </w:rPr>
              <w:lastRenderedPageBreak/>
              <w:t xml:space="preserve">Не зазначається, адже оголошення про проведення </w:t>
            </w:r>
            <w:r>
              <w:rPr>
                <w:b/>
              </w:rPr>
              <w:lastRenderedPageBreak/>
              <w:t>відкритих торгів оприлюднюється не відповідно до частини третьої статті 10 Закону</w:t>
            </w:r>
          </w:p>
        </w:tc>
      </w:tr>
      <w:tr w:rsidR="002E1C3A" w14:paraId="5FB36E3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231A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lastRenderedPageBreak/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81E6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 xml:space="preserve"> 0,5 %</w:t>
            </w:r>
          </w:p>
          <w:p w14:paraId="239D2C26" w14:textId="77777777" w:rsidR="002E1C3A" w:rsidRDefault="002E1C3A">
            <w:pPr>
              <w:pStyle w:val="Standard"/>
              <w:widowControl w:val="0"/>
              <w:jc w:val="both"/>
              <w:textAlignment w:val="top"/>
            </w:pPr>
          </w:p>
        </w:tc>
      </w:tr>
      <w:tr w:rsidR="002E1C3A" w14:paraId="21989517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2275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BA57D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 w14:paraId="759C48ED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07A6A76F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1F720034" w14:textId="77777777" w:rsidR="002E1C3A" w:rsidRDefault="002E1C3A">
      <w:pPr>
        <w:pStyle w:val="Standard"/>
        <w:textAlignment w:val="top"/>
        <w:rPr>
          <w:rFonts w:eastAsia="Times New Roman"/>
          <w:bCs/>
          <w:sz w:val="10"/>
          <w:szCs w:val="10"/>
        </w:rPr>
      </w:pPr>
    </w:p>
    <w:p w14:paraId="737E8B2D" w14:textId="77777777" w:rsidR="002E1C3A" w:rsidRDefault="00000000">
      <w:pPr>
        <w:pStyle w:val="Standard"/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14:paraId="58AE37B4" w14:textId="77777777" w:rsidR="002E1C3A" w:rsidRDefault="002E1C3A">
      <w:pPr>
        <w:pStyle w:val="Standard"/>
        <w:rPr>
          <w:rFonts w:eastAsia="Times New Roman"/>
          <w:bCs/>
        </w:rPr>
      </w:pPr>
    </w:p>
    <w:p w14:paraId="2E9BE60F" w14:textId="77777777" w:rsidR="002E1C3A" w:rsidRDefault="002E1C3A">
      <w:pPr>
        <w:pStyle w:val="Standard"/>
        <w:rPr>
          <w:rFonts w:eastAsia="Times New Roman"/>
          <w:bCs/>
        </w:rPr>
      </w:pPr>
    </w:p>
    <w:tbl>
      <w:tblPr>
        <w:tblW w:w="10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3286"/>
        <w:gridCol w:w="3089"/>
      </w:tblGrid>
      <w:tr w:rsidR="002E1C3A" w14:paraId="3994A0E8" w14:textId="77777777">
        <w:trPr>
          <w:trHeight w:val="131"/>
          <w:jc w:val="center"/>
        </w:trPr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95FB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 w14:paraId="75E7916D" w14:textId="77777777" w:rsidR="002E1C3A" w:rsidRDefault="00000000">
            <w:pPr>
              <w:pStyle w:val="Standard"/>
              <w:widowControl w:val="0"/>
              <w:shd w:val="clear" w:color="auto" w:fill="FFFFFF"/>
              <w:jc w:val="center"/>
            </w:pPr>
            <w:r>
              <w:rPr>
                <w:rFonts w:eastAsia="Arial"/>
                <w:b/>
              </w:rPr>
              <w:t>Комунального некомерційного підприємства «Подільський регіональний центр онкології Вінницької обласної Ради»</w:t>
            </w:r>
          </w:p>
          <w:p w14:paraId="4FC2FB3B" w14:textId="77777777" w:rsidR="002E1C3A" w:rsidRDefault="002E1C3A">
            <w:pPr>
              <w:pStyle w:val="Standard"/>
              <w:widowControl w:val="0"/>
              <w:shd w:val="clear" w:color="auto" w:fill="FFFFFF"/>
              <w:ind w:firstLine="3"/>
              <w:rPr>
                <w:i/>
                <w:lang w:eastAsia="ru-RU"/>
              </w:rPr>
            </w:pP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F15C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119F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</w:pPr>
            <w:r>
              <w:rPr>
                <w:b/>
              </w:rPr>
              <w:t>В. М. Ковальчук</w:t>
            </w:r>
          </w:p>
        </w:tc>
      </w:tr>
    </w:tbl>
    <w:p w14:paraId="15EDBB33" w14:textId="77777777" w:rsidR="002E1C3A" w:rsidRDefault="002E1C3A">
      <w:pPr>
        <w:pStyle w:val="rvps2"/>
        <w:shd w:val="clear" w:color="auto" w:fill="FFFFFF"/>
        <w:spacing w:before="0" w:after="0" w:line="288" w:lineRule="auto"/>
        <w:jc w:val="both"/>
      </w:pPr>
    </w:p>
    <w:sectPr w:rsidR="002E1C3A">
      <w:headerReference w:type="default" r:id="rId7"/>
      <w:footerReference w:type="default" r:id="rId8"/>
      <w:pgSz w:w="11906" w:h="16838"/>
      <w:pgMar w:top="765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4AF" w14:textId="77777777" w:rsidR="00933115" w:rsidRDefault="00933115">
      <w:r>
        <w:separator/>
      </w:r>
    </w:p>
  </w:endnote>
  <w:endnote w:type="continuationSeparator" w:id="0">
    <w:p w14:paraId="068A6888" w14:textId="77777777" w:rsidR="00933115" w:rsidRDefault="009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754" w14:textId="77777777" w:rsidR="00E4345D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8EFE" w14:textId="77777777" w:rsidR="00933115" w:rsidRDefault="00933115">
      <w:r>
        <w:rPr>
          <w:color w:val="000000"/>
        </w:rPr>
        <w:separator/>
      </w:r>
    </w:p>
  </w:footnote>
  <w:footnote w:type="continuationSeparator" w:id="0">
    <w:p w14:paraId="0BEBDCE8" w14:textId="77777777" w:rsidR="00933115" w:rsidRDefault="0093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B46" w14:textId="77777777" w:rsidR="00E4345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DC8"/>
    <w:multiLevelType w:val="multilevel"/>
    <w:tmpl w:val="7C36B4D0"/>
    <w:styleLink w:val="WWNum1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0" w:firstLine="284"/>
      </w:pPr>
      <w:rPr>
        <w:b/>
        <w:bCs/>
        <w:i w:val="0"/>
        <w:iCs w:val="0"/>
        <w:color w:val="auto"/>
      </w:rPr>
    </w:lvl>
    <w:lvl w:ilvl="4">
      <w:start w:val="1"/>
      <w:numFmt w:val="decimal"/>
      <w:lvlText w:val="(%1.%2.%3.%4.%5)"/>
      <w:lvlJc w:val="left"/>
      <w:pPr>
        <w:ind w:left="0" w:firstLine="284"/>
      </w:pPr>
      <w:rPr>
        <w:b/>
        <w:bCs/>
        <w:i/>
        <w:iCs/>
      </w:rPr>
    </w:lvl>
    <w:lvl w:ilvl="5">
      <w:numFmt w:val="bullet"/>
      <w:lvlText w:val="-"/>
      <w:lvlJc w:val="left"/>
      <w:rPr>
        <w:rFonts w:ascii="Times New Roman" w:hAnsi="Times New Roman" w:cs="Courier New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4163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3A"/>
    <w:rsid w:val="00075390"/>
    <w:rsid w:val="000D3375"/>
    <w:rsid w:val="002E1C3A"/>
    <w:rsid w:val="002F3421"/>
    <w:rsid w:val="00310DE4"/>
    <w:rsid w:val="00933115"/>
    <w:rsid w:val="00A7660C"/>
    <w:rsid w:val="00CF75B9"/>
    <w:rsid w:val="00DF7D5C"/>
    <w:rsid w:val="00E01404"/>
    <w:rsid w:val="00E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27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"/>
    <w:next w:val="Standard"/>
    <w:uiPriority w:val="9"/>
    <w:qFormat/>
    <w:pPr>
      <w:keepNext/>
      <w:spacing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Standard"/>
    <w:uiPriority w:val="9"/>
    <w:semiHidden/>
    <w:unhideWhenUsed/>
    <w:qFormat/>
    <w:pPr>
      <w:spacing w:before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F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0">
    <w:name w:val="msonormal"/>
    <w:basedOn w:val="Standard"/>
    <w:pPr>
      <w:spacing w:before="280" w:after="280"/>
    </w:pPr>
  </w:style>
  <w:style w:type="paragraph" w:customStyle="1" w:styleId="small">
    <w:name w:val="small"/>
    <w:basedOn w:val="Standard"/>
    <w:pPr>
      <w:spacing w:before="280" w:after="280"/>
    </w:pPr>
    <w:rPr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819"/>
        <w:tab w:val="right" w:pos="9639"/>
      </w:tabs>
    </w:pPr>
  </w:style>
  <w:style w:type="paragraph" w:styleId="a6">
    <w:name w:val="footer"/>
    <w:basedOn w:val="Standard"/>
    <w:pPr>
      <w:tabs>
        <w:tab w:val="center" w:pos="4819"/>
        <w:tab w:val="right" w:pos="9639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Standard"/>
    <w:pPr>
      <w:spacing w:before="280" w:after="280"/>
    </w:pPr>
    <w:rPr>
      <w:rFonts w:eastAsia="Times New Roman"/>
      <w:lang w:val="ru-RU" w:eastAsia="ru-RU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val="ru-RU" w:eastAsia="ar-SA"/>
    </w:rPr>
  </w:style>
  <w:style w:type="paragraph" w:styleId="a9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20">
    <w:name w:val="Заголовок 2 Знак"/>
    <w:basedOn w:val="a0"/>
    <w:rPr>
      <w:rFonts w:ascii="Calibri Light" w:eastAsia="F" w:hAnsi="Calibri Light" w:cs="Microsoft Uighur"/>
      <w:color w:val="2E74B5"/>
      <w:sz w:val="26"/>
      <w:szCs w:val="26"/>
    </w:rPr>
  </w:style>
  <w:style w:type="character" w:styleId="aa">
    <w:name w:val="Strong"/>
    <w:basedOn w:val="a0"/>
    <w:rPr>
      <w:b/>
      <w:bCs/>
    </w:rPr>
  </w:style>
  <w:style w:type="character" w:customStyle="1" w:styleId="10">
    <w:name w:val="Заголовок 1 Знак"/>
    <w:basedOn w:val="a0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rPr>
      <w:rFonts w:eastAsia="F"/>
      <w:sz w:val="24"/>
      <w:szCs w:val="24"/>
    </w:rPr>
  </w:style>
  <w:style w:type="character" w:customStyle="1" w:styleId="ac">
    <w:name w:val="Нижний колонтитул Знак"/>
    <w:basedOn w:val="a0"/>
    <w:rPr>
      <w:rFonts w:eastAsia="F"/>
      <w:sz w:val="24"/>
      <w:szCs w:val="24"/>
    </w:rPr>
  </w:style>
  <w:style w:type="character" w:customStyle="1" w:styleId="ad">
    <w:name w:val="Текст выноски Знак"/>
    <w:basedOn w:val="a0"/>
    <w:rPr>
      <w:rFonts w:ascii="Segoe UI" w:eastAsia="F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бычный (веб) Знак"/>
    <w:rPr>
      <w:sz w:val="24"/>
      <w:szCs w:val="24"/>
      <w:lang w:eastAsia="zh-CN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Pr>
      <w:b/>
      <w:bCs/>
      <w:i w:val="0"/>
      <w:iCs w:val="0"/>
      <w:color w:val="auto"/>
    </w:rPr>
  </w:style>
  <w:style w:type="character" w:customStyle="1" w:styleId="ListLabel4">
    <w:name w:val="ListLabel 4"/>
    <w:rPr>
      <w:b/>
      <w:bCs/>
      <w:i w:val="0"/>
      <w:iCs w:val="0"/>
      <w:color w:val="auto"/>
    </w:rPr>
  </w:style>
  <w:style w:type="character" w:customStyle="1" w:styleId="ListLabel5">
    <w:name w:val="ListLabel 5"/>
    <w:rPr>
      <w:b/>
      <w:bCs/>
      <w:i/>
      <w:iCs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3</cp:revision>
  <cp:lastPrinted>2023-05-30T08:19:00Z</cp:lastPrinted>
  <dcterms:created xsi:type="dcterms:W3CDTF">2023-05-29T11:53:00Z</dcterms:created>
  <dcterms:modified xsi:type="dcterms:W3CDTF">2023-05-30T08:20:00Z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2023-05-24T13:00:12Z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4895026c-bb38-499e-ac16-448cae7d3f66</vt:lpwstr>
  </property>
  <property fmtid="{D5CDD505-2E9C-101B-9397-08002B2CF9AE}" pid="9" name="MSIP_Label_defa4170-0d19-0005-0004-bc88714345d2_ContentBits">
    <vt:lpwstr>0</vt:lpwstr>
  </property>
</Properties>
</file>