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ТЕХНІЧНЕ ЗАВДАННЯ</w:t>
      </w:r>
    </w:p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6BD" w:rsidRPr="002B1ED5" w:rsidRDefault="00D536BD" w:rsidP="00D5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C1D">
        <w:rPr>
          <w:rFonts w:ascii="Times New Roman" w:eastAsia="Times New Roman" w:hAnsi="Times New Roman" w:cs="Times New Roman"/>
          <w:b/>
          <w:sz w:val="24"/>
          <w:szCs w:val="24"/>
        </w:rPr>
        <w:t>Послуги з видалення зелених насаджень</w:t>
      </w:r>
      <w:r w:rsidRPr="002B1E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1ED5"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 </w:t>
      </w:r>
      <w:r w:rsidRPr="002E19CC">
        <w:rPr>
          <w:rFonts w:ascii="Times New Roman" w:hAnsi="Times New Roman"/>
          <w:bCs/>
          <w:sz w:val="24"/>
          <w:szCs w:val="24"/>
        </w:rPr>
        <w:t>77210000-5 — Лісозаготівельні послуги</w:t>
      </w:r>
    </w:p>
    <w:p w:rsidR="00D536BD" w:rsidRPr="002B1ED5" w:rsidRDefault="00D536BD" w:rsidP="00D5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6BD" w:rsidRDefault="00D536BD" w:rsidP="00D536BD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3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 послуг має відповідати вимогам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встановлені </w:t>
      </w:r>
      <w:r w:rsidRPr="00E32086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E32086">
        <w:rPr>
          <w:rFonts w:ascii="Times New Roman" w:hAnsi="Times New Roman"/>
          <w:sz w:val="24"/>
          <w:szCs w:val="24"/>
        </w:rPr>
        <w:t xml:space="preserve"> України «Про благоустрій населених пунктів»,  </w:t>
      </w:r>
      <w:r>
        <w:rPr>
          <w:rFonts w:ascii="Times New Roman" w:hAnsi="Times New Roman"/>
          <w:sz w:val="24"/>
          <w:szCs w:val="24"/>
        </w:rPr>
        <w:t>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105, Порядком видалення дерев, кущів, газонів і квітників у населених пунктах, затвердженим постановою КМУ від 01.08.2006 № 1045, Правилами благоустрою Уманської міської територіальної громади, затверджених рішенням Уманської міської ради від 09.08.2021 № 4-19/8, та іншими діючими нормативно-правовими актами України у сфері благоустрою та зеленого господарства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6BD" w:rsidRDefault="00D536BD" w:rsidP="00D536BD">
      <w:pPr>
        <w:widowControl w:val="0"/>
        <w:spacing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Місце надання послуг: 20300, Україна, Черкаська область, місто Умань, село Полянецьке, </w:t>
      </w:r>
      <w:r w:rsidR="00B67DD5" w:rsidRPr="005633E2">
        <w:rPr>
          <w:rFonts w:ascii="Times New Roman" w:hAnsi="Times New Roman"/>
          <w:sz w:val="24"/>
          <w:szCs w:val="24"/>
          <w:lang w:eastAsia="uk-UA"/>
        </w:rPr>
        <w:t xml:space="preserve">адміністративні межі </w:t>
      </w:r>
      <w:r w:rsidR="00B67DD5" w:rsidRPr="005633E2">
        <w:rPr>
          <w:rFonts w:ascii="Times New Roman" w:hAnsi="Times New Roman"/>
          <w:sz w:val="24"/>
          <w:szCs w:val="24"/>
        </w:rPr>
        <w:t>Уманської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Вивезення гілок, трухнявих елементів дерева тощо, що не відповідає вимогам паливних дров, відповідно до ТУ У 16.1-00994207-005:2018 «Деревина дров’яна. Класифікація, облік, технічні вимоги», повинно здійснюватися на міське сміттєзвалище (полігон) твердих побутових відходів, яке розташовано </w:t>
      </w:r>
      <w:r w:rsidRPr="000B5C97">
        <w:rPr>
          <w:rFonts w:ascii="Times New Roman" w:hAnsi="Times New Roman"/>
          <w:sz w:val="24"/>
          <w:szCs w:val="24"/>
        </w:rPr>
        <w:t>на земельній ділянці с. Собківка (Дмитрушківська сільська об’єднана територіальна громада)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5C97">
        <w:rPr>
          <w:rFonts w:ascii="Times New Roman" w:hAnsi="Times New Roman"/>
          <w:sz w:val="24"/>
          <w:szCs w:val="24"/>
        </w:rPr>
        <w:t>Право постійного користування даною земельною ділянкою надано Уманському комунальному підприємству «Комунальник».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3728E">
        <w:rPr>
          <w:rFonts w:ascii="Times New Roman" w:hAnsi="Times New Roman"/>
          <w:i/>
          <w:sz w:val="24"/>
          <w:szCs w:val="24"/>
        </w:rPr>
        <w:t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</w:t>
      </w:r>
      <w:r>
        <w:rPr>
          <w:rFonts w:ascii="Times New Roman" w:hAnsi="Times New Roman"/>
          <w:sz w:val="24"/>
          <w:szCs w:val="24"/>
        </w:rPr>
        <w:t xml:space="preserve"> Дата видачі зазначеної довідки має бути не раніше дати оприлюднення оголошення про проведення даної закупівлі.</w:t>
      </w:r>
    </w:p>
    <w:p w:rsidR="00D536BD" w:rsidRPr="00A3728E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Деревина, яка відповідає вимогам паливних дров, передається </w:t>
      </w:r>
      <w:r w:rsidR="00A3728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часником малозабезпеченим верствам населення відповідно до списків пільгових категорій громадян для забезпечення їх безкош</w:t>
      </w:r>
      <w:r w:rsidR="00B67DD5">
        <w:rPr>
          <w:rFonts w:ascii="Times New Roman" w:hAnsi="Times New Roman"/>
          <w:sz w:val="24"/>
          <w:szCs w:val="24"/>
        </w:rPr>
        <w:t>товними паливними дровами в 2024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році, наданих Замовнику Управлінням праці та соціального захисту населення Уманської міської ради. </w:t>
      </w:r>
      <w:r w:rsidRPr="00A3728E">
        <w:rPr>
          <w:rFonts w:ascii="Times New Roman" w:hAnsi="Times New Roman"/>
          <w:i/>
          <w:sz w:val="24"/>
          <w:szCs w:val="24"/>
        </w:rPr>
        <w:t xml:space="preserve">Способом документального підтвердження учасником виконання зазначеної вище вимоги є відповідний гарантійний лист, складений </w:t>
      </w:r>
      <w:r w:rsidR="00A3728E" w:rsidRPr="00A3728E">
        <w:rPr>
          <w:rFonts w:ascii="Times New Roman" w:hAnsi="Times New Roman"/>
          <w:i/>
          <w:sz w:val="24"/>
          <w:szCs w:val="24"/>
        </w:rPr>
        <w:t>у</w:t>
      </w:r>
      <w:r w:rsidRPr="00A3728E">
        <w:rPr>
          <w:rFonts w:ascii="Times New Roman" w:hAnsi="Times New Roman"/>
          <w:i/>
          <w:sz w:val="24"/>
          <w:szCs w:val="24"/>
        </w:rPr>
        <w:t>часником у довільній формі.</w:t>
      </w:r>
    </w:p>
    <w:p w:rsidR="00D536BD" w:rsidRPr="00A3728E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28E">
        <w:rPr>
          <w:rFonts w:ascii="Times New Roman" w:hAnsi="Times New Roman"/>
          <w:i/>
          <w:sz w:val="24"/>
          <w:szCs w:val="24"/>
        </w:rPr>
        <w:t xml:space="preserve">Враховуючи специфіку наданих послуг, в разі термінової необхідності на вимогу Замовника, </w:t>
      </w:r>
      <w:r w:rsidR="00A3728E" w:rsidRPr="00A3728E">
        <w:rPr>
          <w:rFonts w:ascii="Times New Roman" w:hAnsi="Times New Roman"/>
          <w:i/>
          <w:sz w:val="24"/>
          <w:szCs w:val="24"/>
        </w:rPr>
        <w:t>у</w:t>
      </w:r>
      <w:r w:rsidRPr="00A3728E">
        <w:rPr>
          <w:rFonts w:ascii="Times New Roman" w:hAnsi="Times New Roman"/>
          <w:i/>
          <w:sz w:val="24"/>
          <w:szCs w:val="24"/>
        </w:rPr>
        <w:t>часник зобов’язаний виконувати послуги в робочі, святкові, вихідні і інші неробочі дні, про що надається відповідний гарантійний лист.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Обсяг та кількість надання послуг: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992"/>
        <w:gridCol w:w="1133"/>
        <w:gridCol w:w="3744"/>
      </w:tblGrid>
      <w:tr w:rsidR="00354E4B" w:rsidTr="005A587F">
        <w:trPr>
          <w:tblHeader/>
          <w:jc w:val="center"/>
        </w:trPr>
        <w:tc>
          <w:tcPr>
            <w:tcW w:w="567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0B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7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992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133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3744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354E4B" w:rsidTr="005A587F">
        <w:trPr>
          <w:tblHeader/>
          <w:jc w:val="center"/>
        </w:trPr>
        <w:tc>
          <w:tcPr>
            <w:tcW w:w="567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4E4B" w:rsidTr="005A587F">
        <w:trPr>
          <w:jc w:val="center"/>
        </w:trPr>
        <w:tc>
          <w:tcPr>
            <w:tcW w:w="567" w:type="dxa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354E4B" w:rsidRPr="008E2C6E" w:rsidRDefault="00354E4B" w:rsidP="00DF01E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Видалення сухостійних, аварійних та фаутних дерев частинами із застосуванням автогідропідіймачів</w:t>
            </w:r>
          </w:p>
        </w:tc>
        <w:tc>
          <w:tcPr>
            <w:tcW w:w="992" w:type="dxa"/>
          </w:tcPr>
          <w:p w:rsidR="00354E4B" w:rsidRPr="008E2C6E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354E4B" w:rsidRPr="008E2C6E" w:rsidRDefault="009509F9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4" w:type="dxa"/>
          </w:tcPr>
          <w:p w:rsidR="00354E4B" w:rsidRDefault="005A587F" w:rsidP="005A5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E0">
              <w:rPr>
                <w:rFonts w:ascii="Times New Roman" w:hAnsi="Times New Roman"/>
                <w:sz w:val="24"/>
                <w:szCs w:val="24"/>
                <w:u w:val="single"/>
              </w:rPr>
              <w:t>Склад робіт:</w:t>
            </w:r>
            <w:r w:rsidRPr="005A587F">
              <w:rPr>
                <w:rFonts w:ascii="Times New Roman" w:hAnsi="Times New Roman"/>
                <w:sz w:val="24"/>
                <w:szCs w:val="24"/>
              </w:rPr>
              <w:t xml:space="preserve"> Підготовка місця роботи. Обрізання гілок з опусканням на землю. Поярусне спилювання стовбура дерева. Розпилювання колод на дрова. Укладання деревини в штабель та гілок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купи. Прибирання робочих місць</w:t>
            </w:r>
          </w:p>
        </w:tc>
      </w:tr>
      <w:tr w:rsidR="00354E4B" w:rsidTr="005A587F">
        <w:trPr>
          <w:jc w:val="center"/>
        </w:trPr>
        <w:tc>
          <w:tcPr>
            <w:tcW w:w="567" w:type="dxa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7" w:type="dxa"/>
          </w:tcPr>
          <w:p w:rsidR="00354E4B" w:rsidRPr="008E2C6E" w:rsidRDefault="00354E4B" w:rsidP="005A58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 xml:space="preserve">Навантаження гілля </w:t>
            </w:r>
            <w:r w:rsidR="005A587F">
              <w:rPr>
                <w:rFonts w:ascii="Times New Roman" w:hAnsi="Times New Roman"/>
                <w:sz w:val="24"/>
                <w:szCs w:val="24"/>
              </w:rPr>
              <w:t>та деревини</w:t>
            </w:r>
            <w:r w:rsidR="002D226D">
              <w:rPr>
                <w:rFonts w:ascii="Times New Roman" w:hAnsi="Times New Roman"/>
                <w:sz w:val="24"/>
                <w:szCs w:val="24"/>
              </w:rPr>
              <w:t xml:space="preserve"> вручну</w:t>
            </w:r>
          </w:p>
        </w:tc>
        <w:tc>
          <w:tcPr>
            <w:tcW w:w="992" w:type="dxa"/>
          </w:tcPr>
          <w:p w:rsidR="00354E4B" w:rsidRPr="008E2C6E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354E4B" w:rsidRPr="008E2C6E" w:rsidRDefault="009509F9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44" w:type="dxa"/>
          </w:tcPr>
          <w:p w:rsidR="00354E4B" w:rsidRDefault="00354E4B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4B" w:rsidTr="005A587F">
        <w:trPr>
          <w:jc w:val="center"/>
        </w:trPr>
        <w:tc>
          <w:tcPr>
            <w:tcW w:w="567" w:type="dxa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354E4B" w:rsidRPr="008E2C6E" w:rsidRDefault="00354E4B" w:rsidP="00DF01E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Перевезення гілля та деревини</w:t>
            </w:r>
          </w:p>
        </w:tc>
        <w:tc>
          <w:tcPr>
            <w:tcW w:w="992" w:type="dxa"/>
          </w:tcPr>
          <w:p w:rsidR="00354E4B" w:rsidRPr="008E2C6E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354E4B" w:rsidRPr="008E2C6E" w:rsidRDefault="009509F9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44" w:type="dxa"/>
          </w:tcPr>
          <w:p w:rsidR="00354E4B" w:rsidRDefault="00354E4B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4B" w:rsidTr="005A587F">
        <w:trPr>
          <w:jc w:val="center"/>
        </w:trPr>
        <w:tc>
          <w:tcPr>
            <w:tcW w:w="567" w:type="dxa"/>
          </w:tcPr>
          <w:p w:rsidR="00354E4B" w:rsidRPr="00470B24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354E4B" w:rsidRPr="008E2C6E" w:rsidRDefault="00354E4B" w:rsidP="00DF01E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Послуги із поводження з відходами (захоронення) на с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E2C6E">
              <w:rPr>
                <w:rFonts w:ascii="Times New Roman" w:hAnsi="Times New Roman"/>
                <w:sz w:val="24"/>
                <w:szCs w:val="24"/>
              </w:rPr>
              <w:t>іттєзвалищі</w:t>
            </w:r>
          </w:p>
        </w:tc>
        <w:tc>
          <w:tcPr>
            <w:tcW w:w="992" w:type="dxa"/>
          </w:tcPr>
          <w:p w:rsidR="00354E4B" w:rsidRPr="008E2C6E" w:rsidRDefault="00354E4B" w:rsidP="00DF01E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6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354E4B" w:rsidRPr="008E2C6E" w:rsidRDefault="009509F9" w:rsidP="00DF01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44" w:type="dxa"/>
          </w:tcPr>
          <w:p w:rsidR="00354E4B" w:rsidRDefault="00031BE0" w:rsidP="00031BE0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E0">
              <w:rPr>
                <w:rFonts w:ascii="Times New Roman" w:hAnsi="Times New Roman"/>
                <w:sz w:val="24"/>
                <w:szCs w:val="24"/>
              </w:rPr>
              <w:t>Захоронення рослинних решток здійснюється на міському сміттєзвалищі (полігон) твердих побутових відходів</w:t>
            </w:r>
          </w:p>
        </w:tc>
      </w:tr>
    </w:tbl>
    <w:p w:rsidR="00D536BD" w:rsidRDefault="00D536BD" w:rsidP="00D53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Ціна пропозиції </w:t>
      </w:r>
      <w:r w:rsidR="00267CC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</w:t>
      </w:r>
      <w:r w:rsidR="00267CC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часника, необхідні для якісного, своєчасного та в повному обсязі надання послуг </w:t>
      </w:r>
      <w:r w:rsidR="00267CC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амовнику.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третім особам або субпідрядникам.</w:t>
      </w:r>
    </w:p>
    <w:p w:rsidR="00D536BD" w:rsidRDefault="00D536BD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врахована </w:t>
      </w:r>
      <w:r w:rsidR="00267CC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495515" w:rsidRPr="00495515" w:rsidRDefault="00495515" w:rsidP="00D536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495515">
        <w:rPr>
          <w:rFonts w:ascii="Times New Roman" w:hAnsi="Times New Roman"/>
          <w:i/>
          <w:sz w:val="24"/>
          <w:szCs w:val="24"/>
        </w:rPr>
        <w:t>Учасник повинен надати розраховану тендерну пропозицію, за формою наведеною у Додатку № 2 даної тендерної документації.</w:t>
      </w:r>
    </w:p>
    <w:p w:rsidR="00D536BD" w:rsidRDefault="00D536BD" w:rsidP="00D53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2A" w:rsidRDefault="00423D2A" w:rsidP="00C80C46">
      <w:pPr>
        <w:spacing w:after="0" w:line="240" w:lineRule="auto"/>
      </w:pPr>
      <w:r>
        <w:separator/>
      </w:r>
    </w:p>
  </w:endnote>
  <w:endnote w:type="continuationSeparator" w:id="0">
    <w:p w:rsidR="00423D2A" w:rsidRDefault="00423D2A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2A" w:rsidRDefault="00423D2A" w:rsidP="00C80C46">
      <w:pPr>
        <w:spacing w:after="0" w:line="240" w:lineRule="auto"/>
      </w:pPr>
      <w:r>
        <w:separator/>
      </w:r>
    </w:p>
  </w:footnote>
  <w:footnote w:type="continuationSeparator" w:id="0">
    <w:p w:rsidR="00423D2A" w:rsidRDefault="00423D2A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1BE0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226D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54E4B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23D2A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587F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370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09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67DD5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3F82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41C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D533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6105-005D-4AE0-8DFE-55750E21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</cp:lastModifiedBy>
  <cp:revision>7</cp:revision>
  <cp:lastPrinted>2023-05-22T04:56:00Z</cp:lastPrinted>
  <dcterms:created xsi:type="dcterms:W3CDTF">2024-02-12T09:20:00Z</dcterms:created>
  <dcterms:modified xsi:type="dcterms:W3CDTF">2024-03-04T13:43:00Z</dcterms:modified>
</cp:coreProperties>
</file>