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65" w:rsidRDefault="00270865">
      <w:pPr>
        <w:rPr>
          <w:lang w:val="uk-UA"/>
        </w:rPr>
      </w:pPr>
    </w:p>
    <w:p w:rsidR="00270865" w:rsidRDefault="00270865" w:rsidP="00270865">
      <w:pPr>
        <w:pStyle w:val="a3"/>
        <w:ind w:left="2832"/>
        <w:jc w:val="right"/>
        <w:rPr>
          <w:rFonts w:ascii="Times New Roman" w:hAnsi="Times New Roman"/>
        </w:rPr>
      </w:pPr>
      <w:r>
        <w:rPr>
          <w:rFonts w:ascii="Times New Roman" w:hAnsi="Times New Roman"/>
        </w:rPr>
        <w:t xml:space="preserve">Додаток </w:t>
      </w:r>
      <w:r>
        <w:rPr>
          <w:rFonts w:ascii="Times New Roman" w:hAnsi="Times New Roman"/>
          <w:lang w:val="uk-UA"/>
        </w:rPr>
        <w:t>2</w:t>
      </w:r>
      <w:r>
        <w:rPr>
          <w:rFonts w:ascii="Times New Roman" w:hAnsi="Times New Roman"/>
        </w:rPr>
        <w:t xml:space="preserve"> до оголошення </w:t>
      </w:r>
    </w:p>
    <w:p w:rsidR="00270865" w:rsidRDefault="00270865" w:rsidP="00270865">
      <w:pPr>
        <w:pStyle w:val="a3"/>
        <w:ind w:left="2832"/>
        <w:jc w:val="right"/>
        <w:rPr>
          <w:rFonts w:ascii="Times New Roman" w:hAnsi="Times New Roman"/>
        </w:rPr>
      </w:pPr>
      <w:r>
        <w:rPr>
          <w:rFonts w:ascii="Times New Roman" w:hAnsi="Times New Roman"/>
        </w:rPr>
        <w:t>про проведення спрощеної закупівлі</w:t>
      </w:r>
    </w:p>
    <w:p w:rsidR="00270865" w:rsidRPr="007338DC" w:rsidRDefault="00270865" w:rsidP="00270865">
      <w:pPr>
        <w:suppressLineNumbers/>
        <w:tabs>
          <w:tab w:val="left" w:pos="-180"/>
          <w:tab w:val="left" w:pos="540"/>
        </w:tabs>
        <w:spacing w:after="0" w:line="240" w:lineRule="auto"/>
        <w:ind w:left="-180"/>
        <w:jc w:val="center"/>
        <w:rPr>
          <w:rFonts w:ascii="Times New Roman" w:hAnsi="Times New Roman"/>
          <w:i/>
          <w:iCs/>
          <w:color w:val="FF0000"/>
          <w:sz w:val="10"/>
          <w:szCs w:val="10"/>
        </w:rPr>
      </w:pPr>
    </w:p>
    <w:p w:rsidR="00270865" w:rsidRDefault="00270865" w:rsidP="00270865">
      <w:pPr>
        <w:shd w:val="clear" w:color="auto" w:fill="FFFFFF"/>
        <w:spacing w:after="0" w:line="240" w:lineRule="auto"/>
        <w:ind w:left="34" w:right="1"/>
        <w:jc w:val="center"/>
        <w:rPr>
          <w:rFonts w:ascii="Times New Roman" w:hAnsi="Times New Roman"/>
          <w:b/>
          <w:bCs/>
          <w:sz w:val="24"/>
          <w:szCs w:val="24"/>
          <w:lang w:eastAsia="ru-RU"/>
        </w:rPr>
      </w:pPr>
    </w:p>
    <w:p w:rsidR="00270865" w:rsidRPr="003E05C5" w:rsidRDefault="00270865" w:rsidP="00270865">
      <w:pPr>
        <w:shd w:val="clear" w:color="auto" w:fill="FFFFFF"/>
        <w:spacing w:after="0" w:line="240" w:lineRule="auto"/>
        <w:ind w:left="34" w:right="1"/>
        <w:jc w:val="center"/>
        <w:rPr>
          <w:rFonts w:ascii="Times New Roman" w:hAnsi="Times New Roman"/>
          <w:bCs/>
          <w:sz w:val="28"/>
          <w:szCs w:val="28"/>
          <w:lang w:eastAsia="ru-RU"/>
        </w:rPr>
      </w:pPr>
      <w:r w:rsidRPr="003E05C5">
        <w:rPr>
          <w:rFonts w:ascii="Times New Roman" w:hAnsi="Times New Roman"/>
          <w:bCs/>
          <w:sz w:val="28"/>
          <w:szCs w:val="28"/>
          <w:lang w:eastAsia="ru-RU"/>
        </w:rPr>
        <w:t>Технічні характеристики</w:t>
      </w:r>
    </w:p>
    <w:p w:rsidR="00270865" w:rsidRPr="0056053A" w:rsidRDefault="00270865" w:rsidP="00270865">
      <w:pPr>
        <w:shd w:val="clear" w:color="auto" w:fill="FFFFFF"/>
        <w:spacing w:after="0" w:line="240" w:lineRule="auto"/>
        <w:ind w:left="34" w:right="1"/>
        <w:jc w:val="center"/>
        <w:rPr>
          <w:rFonts w:ascii="Times New Roman" w:hAnsi="Times New Roman"/>
          <w:b/>
          <w:bCs/>
          <w:sz w:val="28"/>
          <w:szCs w:val="28"/>
          <w:lang w:eastAsia="ru-RU"/>
        </w:rPr>
      </w:pPr>
    </w:p>
    <w:p w:rsidR="00270865" w:rsidRPr="0056053A" w:rsidRDefault="00270865" w:rsidP="00270865">
      <w:pPr>
        <w:spacing w:after="0" w:line="240" w:lineRule="auto"/>
        <w:ind w:firstLine="455"/>
        <w:jc w:val="both"/>
        <w:rPr>
          <w:rFonts w:ascii="Times New Roman" w:hAnsi="Times New Roman"/>
          <w:sz w:val="28"/>
          <w:szCs w:val="28"/>
        </w:rPr>
      </w:pPr>
      <w:r w:rsidRPr="0056053A">
        <w:rPr>
          <w:rFonts w:ascii="Times New Roman" w:hAnsi="Times New Roman"/>
          <w:sz w:val="28"/>
          <w:szCs w:val="28"/>
        </w:rPr>
        <w:t xml:space="preserve">09110000-3 Тверде паливо (09111100-1 </w:t>
      </w:r>
      <w:r w:rsidR="00D442C7">
        <w:rPr>
          <w:rFonts w:ascii="Times New Roman" w:hAnsi="Times New Roman"/>
          <w:sz w:val="28"/>
          <w:szCs w:val="28"/>
        </w:rPr>
        <w:t xml:space="preserve">Вугілля (вугілля кам’яне марки </w:t>
      </w:r>
      <w:r w:rsidRPr="0056053A">
        <w:rPr>
          <w:rFonts w:ascii="Times New Roman" w:hAnsi="Times New Roman"/>
          <w:sz w:val="28"/>
          <w:szCs w:val="28"/>
        </w:rPr>
        <w:t>Г</w:t>
      </w:r>
      <w:r w:rsidR="00D442C7">
        <w:rPr>
          <w:rFonts w:ascii="Times New Roman" w:hAnsi="Times New Roman"/>
          <w:sz w:val="28"/>
          <w:szCs w:val="28"/>
          <w:lang w:val="uk-UA"/>
        </w:rPr>
        <w:t>Ж</w:t>
      </w:r>
      <w:r w:rsidR="00D442C7">
        <w:rPr>
          <w:rFonts w:ascii="Times New Roman" w:hAnsi="Times New Roman"/>
          <w:sz w:val="28"/>
          <w:szCs w:val="28"/>
        </w:rPr>
        <w:t>(13-</w:t>
      </w:r>
      <w:r w:rsidR="00D442C7">
        <w:rPr>
          <w:rFonts w:ascii="Times New Roman" w:hAnsi="Times New Roman"/>
          <w:sz w:val="28"/>
          <w:szCs w:val="28"/>
          <w:lang w:val="uk-UA"/>
        </w:rPr>
        <w:t>5</w:t>
      </w:r>
      <w:r w:rsidRPr="0056053A">
        <w:rPr>
          <w:rFonts w:ascii="Times New Roman" w:hAnsi="Times New Roman"/>
          <w:sz w:val="28"/>
          <w:szCs w:val="28"/>
        </w:rPr>
        <w:t>0)</w:t>
      </w:r>
    </w:p>
    <w:p w:rsidR="00270865" w:rsidRDefault="00270865" w:rsidP="00270865">
      <w:pPr>
        <w:spacing w:after="0" w:line="240" w:lineRule="auto"/>
        <w:ind w:firstLine="455"/>
        <w:jc w:val="both"/>
        <w:rPr>
          <w:rFonts w:ascii="Times New Roman" w:hAnsi="Times New Roman"/>
          <w:sz w:val="24"/>
          <w:szCs w:val="24"/>
        </w:rPr>
      </w:pPr>
    </w:p>
    <w:p w:rsidR="00270865" w:rsidRPr="0056053A" w:rsidRDefault="00D442C7" w:rsidP="00270865">
      <w:pPr>
        <w:spacing w:line="240" w:lineRule="auto"/>
        <w:ind w:right="-143" w:firstLine="720"/>
        <w:jc w:val="both"/>
        <w:rPr>
          <w:rFonts w:ascii="Times New Roman" w:hAnsi="Times New Roman"/>
        </w:rPr>
      </w:pPr>
      <w:r>
        <w:rPr>
          <w:rFonts w:ascii="Times New Roman" w:hAnsi="Times New Roman"/>
          <w:spacing w:val="3"/>
        </w:rPr>
        <w:t xml:space="preserve">Вугілля кам’яне марки </w:t>
      </w:r>
      <w:r w:rsidR="00270865" w:rsidRPr="0056053A">
        <w:rPr>
          <w:rFonts w:ascii="Times New Roman" w:hAnsi="Times New Roman"/>
          <w:spacing w:val="3"/>
        </w:rPr>
        <w:t>Г</w:t>
      </w:r>
      <w:r>
        <w:rPr>
          <w:rFonts w:ascii="Times New Roman" w:hAnsi="Times New Roman"/>
          <w:spacing w:val="3"/>
          <w:lang w:val="uk-UA"/>
        </w:rPr>
        <w:t>Ж</w:t>
      </w:r>
      <w:r>
        <w:rPr>
          <w:rFonts w:ascii="Times New Roman" w:hAnsi="Times New Roman"/>
          <w:spacing w:val="3"/>
        </w:rPr>
        <w:t xml:space="preserve"> (13-</w:t>
      </w:r>
      <w:r>
        <w:rPr>
          <w:rFonts w:ascii="Times New Roman" w:hAnsi="Times New Roman"/>
          <w:spacing w:val="3"/>
          <w:lang w:val="uk-UA"/>
        </w:rPr>
        <w:t>5</w:t>
      </w:r>
      <w:r w:rsidR="00270865" w:rsidRPr="0056053A">
        <w:rPr>
          <w:rFonts w:ascii="Times New Roman" w:hAnsi="Times New Roman"/>
          <w:spacing w:val="3"/>
        </w:rPr>
        <w:t xml:space="preserve">0) </w:t>
      </w:r>
      <w:r w:rsidR="00270865" w:rsidRPr="0056053A">
        <w:rPr>
          <w:rFonts w:ascii="Times New Roman" w:hAnsi="Times New Roman"/>
        </w:rPr>
        <w:t xml:space="preserve">повинно відповідати вимогам і розмірам, визначеним у даному додатку </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4"/>
        <w:gridCol w:w="1178"/>
        <w:gridCol w:w="2470"/>
        <w:gridCol w:w="992"/>
        <w:gridCol w:w="1276"/>
        <w:gridCol w:w="1466"/>
      </w:tblGrid>
      <w:tr w:rsidR="00270865" w:rsidRPr="0056053A" w:rsidTr="00421BAB">
        <w:trPr>
          <w:trHeight w:val="878"/>
          <w:jc w:val="center"/>
        </w:trPr>
        <w:tc>
          <w:tcPr>
            <w:tcW w:w="2594" w:type="dxa"/>
            <w:tcBorders>
              <w:top w:val="single" w:sz="4" w:space="0" w:color="auto"/>
              <w:left w:val="single" w:sz="4" w:space="0" w:color="auto"/>
              <w:bottom w:val="single" w:sz="4" w:space="0" w:color="auto"/>
              <w:right w:val="single" w:sz="4" w:space="0" w:color="auto"/>
            </w:tcBorders>
            <w:shd w:val="clear" w:color="auto" w:fill="C0C0C0"/>
            <w:vAlign w:val="center"/>
          </w:tcPr>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 xml:space="preserve">                                                                                                                         Найменування предмета закупівлі</w:t>
            </w:r>
          </w:p>
        </w:tc>
        <w:tc>
          <w:tcPr>
            <w:tcW w:w="1178" w:type="dxa"/>
            <w:tcBorders>
              <w:top w:val="single" w:sz="4" w:space="0" w:color="auto"/>
              <w:left w:val="single" w:sz="4" w:space="0" w:color="auto"/>
              <w:bottom w:val="single" w:sz="4" w:space="0" w:color="auto"/>
              <w:right w:val="single" w:sz="4" w:space="0" w:color="auto"/>
            </w:tcBorders>
            <w:shd w:val="clear" w:color="auto" w:fill="C0C0C0"/>
            <w:vAlign w:val="center"/>
          </w:tcPr>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Тип, марка</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tcPr>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 xml:space="preserve">Технічні характеристики відповідно до </w:t>
            </w:r>
          </w:p>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ГОСТ, ДСТУ, ТУ</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270865" w:rsidRPr="0056053A" w:rsidRDefault="00270865" w:rsidP="00421BAB">
            <w:pPr>
              <w:spacing w:after="0" w:line="240" w:lineRule="auto"/>
              <w:jc w:val="center"/>
              <w:rPr>
                <w:rFonts w:ascii="Times New Roman" w:eastAsia="Calibri" w:hAnsi="Times New Roman"/>
                <w:lang w:val="en-US" w:eastAsia="ru-RU"/>
              </w:rPr>
            </w:pPr>
            <w:r w:rsidRPr="0056053A">
              <w:rPr>
                <w:rFonts w:ascii="Times New Roman" w:eastAsia="Calibri" w:hAnsi="Times New Roman"/>
                <w:lang w:eastAsia="ru-RU"/>
              </w:rPr>
              <w:t>Розмір</w:t>
            </w:r>
          </w:p>
          <w:p w:rsidR="00270865" w:rsidRPr="0056053A" w:rsidRDefault="00270865" w:rsidP="00421BAB">
            <w:pPr>
              <w:spacing w:after="0" w:line="240" w:lineRule="auto"/>
              <w:jc w:val="center"/>
              <w:rPr>
                <w:rFonts w:ascii="Times New Roman" w:eastAsia="Calibri" w:hAnsi="Times New Roman"/>
                <w:lang w:val="en-US" w:eastAsia="ru-RU"/>
              </w:rPr>
            </w:pPr>
            <w:r w:rsidRPr="0056053A">
              <w:rPr>
                <w:rFonts w:ascii="Times New Roman" w:eastAsia="Calibri" w:hAnsi="Times New Roman"/>
                <w:lang w:val="en-US" w:eastAsia="ru-RU"/>
              </w:rPr>
              <w:t>(</w:t>
            </w:r>
            <w:r w:rsidRPr="0056053A">
              <w:rPr>
                <w:rFonts w:ascii="Times New Roman" w:eastAsia="Calibri" w:hAnsi="Times New Roman"/>
                <w:lang w:eastAsia="ru-RU"/>
              </w:rPr>
              <w:t>мм</w:t>
            </w:r>
            <w:r w:rsidRPr="0056053A">
              <w:rPr>
                <w:rFonts w:ascii="Times New Roman" w:eastAsia="Calibri" w:hAnsi="Times New Roman"/>
                <w:lang w:val="en-US"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Одиниця виміру</w:t>
            </w:r>
          </w:p>
        </w:tc>
        <w:tc>
          <w:tcPr>
            <w:tcW w:w="1466" w:type="dxa"/>
            <w:tcBorders>
              <w:top w:val="single" w:sz="4" w:space="0" w:color="auto"/>
              <w:left w:val="single" w:sz="4" w:space="0" w:color="auto"/>
              <w:bottom w:val="single" w:sz="4" w:space="0" w:color="auto"/>
              <w:right w:val="single" w:sz="4" w:space="0" w:color="auto"/>
            </w:tcBorders>
            <w:shd w:val="clear" w:color="auto" w:fill="C0C0C0"/>
            <w:vAlign w:val="center"/>
          </w:tcPr>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Кількість</w:t>
            </w:r>
          </w:p>
        </w:tc>
      </w:tr>
      <w:tr w:rsidR="00270865" w:rsidRPr="0056053A" w:rsidTr="00421BAB">
        <w:trPr>
          <w:trHeight w:val="696"/>
          <w:jc w:val="center"/>
        </w:trPr>
        <w:tc>
          <w:tcPr>
            <w:tcW w:w="2594" w:type="dxa"/>
            <w:tcBorders>
              <w:top w:val="single" w:sz="4" w:space="0" w:color="auto"/>
              <w:left w:val="single" w:sz="4" w:space="0" w:color="auto"/>
              <w:bottom w:val="single" w:sz="4" w:space="0" w:color="auto"/>
              <w:right w:val="single" w:sz="4" w:space="0" w:color="auto"/>
            </w:tcBorders>
            <w:vAlign w:val="center"/>
          </w:tcPr>
          <w:p w:rsidR="00270865" w:rsidRPr="0056053A" w:rsidRDefault="00D442C7" w:rsidP="00421BAB">
            <w:pPr>
              <w:spacing w:after="0" w:line="240" w:lineRule="auto"/>
              <w:jc w:val="center"/>
              <w:rPr>
                <w:rFonts w:ascii="Times New Roman" w:eastAsia="Calibri" w:hAnsi="Times New Roman"/>
                <w:lang w:eastAsia="ru-RU"/>
              </w:rPr>
            </w:pPr>
            <w:r>
              <w:rPr>
                <w:rFonts w:ascii="Times New Roman" w:eastAsia="Calibri" w:hAnsi="Times New Roman"/>
                <w:lang w:eastAsia="ru-RU"/>
              </w:rPr>
              <w:t xml:space="preserve">Вугілля кам’яне марки </w:t>
            </w:r>
            <w:r w:rsidR="00270865" w:rsidRPr="0056053A">
              <w:rPr>
                <w:rFonts w:ascii="Times New Roman" w:eastAsia="Calibri" w:hAnsi="Times New Roman"/>
                <w:lang w:eastAsia="ru-RU"/>
              </w:rPr>
              <w:t>Г</w:t>
            </w:r>
            <w:r>
              <w:rPr>
                <w:rFonts w:ascii="Times New Roman" w:eastAsia="Calibri" w:hAnsi="Times New Roman"/>
                <w:lang w:val="uk-UA" w:eastAsia="ru-RU"/>
              </w:rPr>
              <w:t>Ж</w:t>
            </w:r>
            <w:r w:rsidR="00270865" w:rsidRPr="0056053A">
              <w:rPr>
                <w:rFonts w:ascii="Times New Roman" w:eastAsia="Calibri" w:hAnsi="Times New Roman"/>
                <w:lang w:eastAsia="ru-RU"/>
              </w:rPr>
              <w:t xml:space="preserve"> </w:t>
            </w:r>
            <w:r>
              <w:rPr>
                <w:rFonts w:ascii="Times New Roman" w:eastAsia="Courier New" w:hAnsi="Times New Roman"/>
                <w:lang w:eastAsia="ru-RU"/>
              </w:rPr>
              <w:t>(13-</w:t>
            </w:r>
            <w:r>
              <w:rPr>
                <w:rFonts w:ascii="Times New Roman" w:eastAsia="Courier New" w:hAnsi="Times New Roman"/>
                <w:lang w:val="uk-UA" w:eastAsia="ru-RU"/>
              </w:rPr>
              <w:t>5</w:t>
            </w:r>
            <w:r w:rsidR="00270865" w:rsidRPr="0056053A">
              <w:rPr>
                <w:rFonts w:ascii="Times New Roman" w:eastAsia="Courier New" w:hAnsi="Times New Roman"/>
                <w:lang w:eastAsia="ru-RU"/>
              </w:rPr>
              <w:t>0)</w:t>
            </w:r>
          </w:p>
        </w:tc>
        <w:tc>
          <w:tcPr>
            <w:tcW w:w="1178" w:type="dxa"/>
            <w:tcBorders>
              <w:top w:val="single" w:sz="4" w:space="0" w:color="auto"/>
              <w:left w:val="single" w:sz="4" w:space="0" w:color="auto"/>
              <w:bottom w:val="single" w:sz="4" w:space="0" w:color="auto"/>
              <w:right w:val="single" w:sz="4" w:space="0" w:color="auto"/>
            </w:tcBorders>
            <w:vAlign w:val="center"/>
          </w:tcPr>
          <w:p w:rsidR="00270865" w:rsidRPr="00D442C7" w:rsidRDefault="00270865" w:rsidP="00421BAB">
            <w:pPr>
              <w:spacing w:after="0" w:line="240" w:lineRule="auto"/>
              <w:jc w:val="center"/>
              <w:rPr>
                <w:rFonts w:ascii="Times New Roman" w:eastAsia="Calibri" w:hAnsi="Times New Roman"/>
                <w:lang w:val="uk-UA" w:eastAsia="ru-RU"/>
              </w:rPr>
            </w:pPr>
            <w:r w:rsidRPr="0056053A">
              <w:rPr>
                <w:rFonts w:ascii="Times New Roman" w:eastAsia="Calibri" w:hAnsi="Times New Roman"/>
                <w:lang w:eastAsia="ru-RU"/>
              </w:rPr>
              <w:t>Г</w:t>
            </w:r>
            <w:r w:rsidR="00D442C7">
              <w:rPr>
                <w:rFonts w:ascii="Times New Roman" w:eastAsia="Calibri" w:hAnsi="Times New Roman"/>
                <w:lang w:val="uk-UA" w:eastAsia="ru-RU"/>
              </w:rPr>
              <w:t>Ж</w:t>
            </w:r>
          </w:p>
        </w:tc>
        <w:tc>
          <w:tcPr>
            <w:tcW w:w="2470" w:type="dxa"/>
            <w:tcBorders>
              <w:top w:val="single" w:sz="4" w:space="0" w:color="auto"/>
              <w:left w:val="single" w:sz="4" w:space="0" w:color="auto"/>
              <w:bottom w:val="single" w:sz="4" w:space="0" w:color="auto"/>
              <w:right w:val="single" w:sz="4" w:space="0" w:color="auto"/>
            </w:tcBorders>
            <w:vAlign w:val="center"/>
          </w:tcPr>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ДСТУ 3472:</w:t>
            </w:r>
            <w:r w:rsidRPr="0056053A">
              <w:rPr>
                <w:rFonts w:ascii="Times New Roman" w:eastAsia="Calibri" w:hAnsi="Times New Roman"/>
                <w:lang w:val="en-US" w:eastAsia="ru-RU"/>
              </w:rPr>
              <w:t>2015</w:t>
            </w:r>
          </w:p>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ДСТУ 7146:2010</w:t>
            </w:r>
          </w:p>
        </w:tc>
        <w:tc>
          <w:tcPr>
            <w:tcW w:w="992" w:type="dxa"/>
            <w:tcBorders>
              <w:top w:val="single" w:sz="4" w:space="0" w:color="auto"/>
              <w:left w:val="single" w:sz="4" w:space="0" w:color="auto"/>
              <w:bottom w:val="single" w:sz="4" w:space="0" w:color="auto"/>
              <w:right w:val="single" w:sz="4" w:space="0" w:color="auto"/>
            </w:tcBorders>
            <w:vAlign w:val="center"/>
          </w:tcPr>
          <w:p w:rsidR="00270865" w:rsidRPr="0056053A" w:rsidRDefault="00D442C7" w:rsidP="00421BAB">
            <w:pPr>
              <w:spacing w:after="0" w:line="240" w:lineRule="auto"/>
              <w:jc w:val="center"/>
              <w:rPr>
                <w:rFonts w:ascii="Times New Roman" w:eastAsia="Calibri" w:hAnsi="Times New Roman"/>
                <w:lang w:eastAsia="ru-RU"/>
              </w:rPr>
            </w:pPr>
            <w:r>
              <w:rPr>
                <w:rFonts w:ascii="Times New Roman" w:eastAsia="Calibri" w:hAnsi="Times New Roman"/>
                <w:lang w:eastAsia="ru-RU"/>
              </w:rPr>
              <w:t>13-</w:t>
            </w:r>
            <w:r>
              <w:rPr>
                <w:rFonts w:ascii="Times New Roman" w:eastAsia="Calibri" w:hAnsi="Times New Roman"/>
                <w:lang w:val="uk-UA" w:eastAsia="ru-RU"/>
              </w:rPr>
              <w:t>5</w:t>
            </w:r>
            <w:r w:rsidR="00270865" w:rsidRPr="0056053A">
              <w:rPr>
                <w:rFonts w:ascii="Times New Roman" w:eastAsia="Calibri"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70865" w:rsidRPr="0056053A" w:rsidRDefault="00270865" w:rsidP="00421BAB">
            <w:pPr>
              <w:spacing w:after="0" w:line="240" w:lineRule="auto"/>
              <w:jc w:val="center"/>
              <w:rPr>
                <w:rFonts w:ascii="Times New Roman" w:eastAsia="Calibri" w:hAnsi="Times New Roman"/>
                <w:lang w:eastAsia="ru-RU"/>
              </w:rPr>
            </w:pPr>
            <w:r w:rsidRPr="0056053A">
              <w:rPr>
                <w:rFonts w:ascii="Times New Roman" w:eastAsia="Calibri" w:hAnsi="Times New Roman"/>
                <w:lang w:eastAsia="ru-RU"/>
              </w:rPr>
              <w:t>тонна</w:t>
            </w:r>
          </w:p>
        </w:tc>
        <w:tc>
          <w:tcPr>
            <w:tcW w:w="1466" w:type="dxa"/>
            <w:tcBorders>
              <w:top w:val="single" w:sz="4" w:space="0" w:color="auto"/>
              <w:left w:val="single" w:sz="4" w:space="0" w:color="auto"/>
              <w:bottom w:val="single" w:sz="4" w:space="0" w:color="auto"/>
              <w:right w:val="single" w:sz="4" w:space="0" w:color="auto"/>
            </w:tcBorders>
            <w:vAlign w:val="center"/>
          </w:tcPr>
          <w:p w:rsidR="00270865" w:rsidRPr="00D442C7" w:rsidRDefault="00270865" w:rsidP="00D442C7">
            <w:pPr>
              <w:spacing w:after="0" w:line="240" w:lineRule="auto"/>
              <w:rPr>
                <w:rFonts w:ascii="Times New Roman" w:eastAsia="Calibri" w:hAnsi="Times New Roman"/>
                <w:lang w:val="uk-UA" w:eastAsia="ru-RU"/>
              </w:rPr>
            </w:pPr>
            <w:r w:rsidRPr="0056053A">
              <w:rPr>
                <w:rFonts w:ascii="Times New Roman" w:eastAsia="Calibri" w:hAnsi="Times New Roman"/>
                <w:lang w:eastAsia="ru-RU"/>
              </w:rPr>
              <w:t xml:space="preserve">       </w:t>
            </w:r>
            <w:r w:rsidR="00D442C7">
              <w:rPr>
                <w:rFonts w:ascii="Times New Roman" w:eastAsia="Calibri" w:hAnsi="Times New Roman"/>
                <w:lang w:val="uk-UA" w:eastAsia="ru-RU"/>
              </w:rPr>
              <w:t>8,2 тон</w:t>
            </w:r>
          </w:p>
        </w:tc>
      </w:tr>
    </w:tbl>
    <w:p w:rsidR="00270865" w:rsidRPr="0056053A" w:rsidRDefault="00270865" w:rsidP="00270865">
      <w:pPr>
        <w:tabs>
          <w:tab w:val="left" w:pos="851"/>
          <w:tab w:val="left" w:pos="1276"/>
        </w:tabs>
        <w:spacing w:before="120" w:after="120" w:line="240" w:lineRule="auto"/>
        <w:ind w:firstLine="567"/>
        <w:jc w:val="both"/>
        <w:rPr>
          <w:rFonts w:ascii="Times New Roman" w:hAnsi="Times New Roman"/>
          <w:lang w:eastAsia="ru-RU"/>
        </w:rPr>
      </w:pPr>
      <w:r w:rsidRPr="0056053A">
        <w:rPr>
          <w:rFonts w:ascii="Times New Roman" w:hAnsi="Times New Roman"/>
        </w:rPr>
        <w:tab/>
        <w:t xml:space="preserve">Доставка Товару до місця постачання здійснюється Учасником повністю за його рахунок. </w:t>
      </w:r>
      <w:r w:rsidRPr="0056053A">
        <w:rPr>
          <w:rFonts w:ascii="Times New Roman" w:hAnsi="Times New Roman"/>
          <w:lang w:eastAsia="ru-RU"/>
        </w:rPr>
        <w:t>Приймання товару за кількістю та якістю здійснюється представником Замовника в робочі</w:t>
      </w:r>
      <w:r>
        <w:rPr>
          <w:rFonts w:ascii="Times New Roman" w:hAnsi="Times New Roman"/>
          <w:lang w:eastAsia="ru-RU"/>
        </w:rPr>
        <w:t xml:space="preserve"> дні та години</w:t>
      </w:r>
      <w:r w:rsidRPr="0056053A">
        <w:rPr>
          <w:rFonts w:ascii="Times New Roman" w:hAnsi="Times New Roman"/>
          <w:lang w:eastAsia="ru-RU"/>
        </w:rPr>
        <w:t xml:space="preserve">. Постачання вугілля до місця призначення повинно відбуватися у світлий час доби. </w:t>
      </w:r>
    </w:p>
    <w:p w:rsidR="00270865" w:rsidRPr="0056053A" w:rsidRDefault="00270865" w:rsidP="00270865">
      <w:pPr>
        <w:spacing w:line="240" w:lineRule="auto"/>
        <w:jc w:val="both"/>
        <w:rPr>
          <w:rFonts w:ascii="Times New Roman" w:hAnsi="Times New Roman"/>
        </w:rPr>
      </w:pPr>
      <w:r w:rsidRPr="0056053A">
        <w:rPr>
          <w:rFonts w:ascii="Times New Roman" w:hAnsi="Times New Roman"/>
          <w:lang w:eastAsia="ru-RU"/>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Pr="0056053A">
        <w:rPr>
          <w:rFonts w:ascii="Times New Roman" w:hAnsi="Times New Roman"/>
        </w:rPr>
        <w:t xml:space="preserve">. </w:t>
      </w:r>
    </w:p>
    <w:p w:rsidR="00270865" w:rsidRPr="0056053A" w:rsidRDefault="00270865" w:rsidP="00270865">
      <w:pPr>
        <w:spacing w:after="0" w:line="240" w:lineRule="auto"/>
        <w:ind w:firstLine="708"/>
        <w:jc w:val="both"/>
        <w:rPr>
          <w:rFonts w:ascii="Times New Roman" w:eastAsia="Calibri" w:hAnsi="Times New Roman"/>
          <w:b/>
          <w:lang w:eastAsia="ru-RU"/>
        </w:rPr>
      </w:pPr>
      <w:r w:rsidRPr="0056053A">
        <w:rPr>
          <w:rFonts w:ascii="Times New Roman" w:eastAsia="Calibri" w:hAnsi="Times New Roman"/>
          <w:b/>
          <w:lang w:eastAsia="ru-RU"/>
        </w:rPr>
        <w:t xml:space="preserve">Запропоноване Учасником </w:t>
      </w:r>
      <w:r w:rsidRPr="0056053A">
        <w:rPr>
          <w:rFonts w:ascii="Times New Roman" w:eastAsia="Calibri" w:hAnsi="Times New Roman"/>
          <w:b/>
          <w:spacing w:val="3"/>
          <w:lang w:eastAsia="ru-RU"/>
        </w:rPr>
        <w:t>вугілля</w:t>
      </w:r>
      <w:r w:rsidRPr="0056053A">
        <w:rPr>
          <w:rFonts w:ascii="Times New Roman" w:eastAsia="Calibri" w:hAnsi="Times New Roman"/>
          <w:b/>
          <w:lang w:eastAsia="ru-RU"/>
        </w:rPr>
        <w:t xml:space="preserve"> повинно відповідати ДСТУ 3472-2015,ДСТУ 7146:2010  та наступним технічним вимогам: </w:t>
      </w:r>
    </w:p>
    <w:p w:rsidR="00270865" w:rsidRPr="0056053A" w:rsidRDefault="00270865" w:rsidP="00270865">
      <w:pPr>
        <w:spacing w:after="0" w:line="240" w:lineRule="auto"/>
        <w:ind w:firstLine="708"/>
        <w:jc w:val="both"/>
        <w:rPr>
          <w:rFonts w:ascii="Times New Roman" w:eastAsia="Calibri" w:hAnsi="Times New Roman"/>
          <w:i/>
          <w:lang w:eastAsia="ru-RU"/>
        </w:rPr>
      </w:pPr>
      <w:r w:rsidRPr="0056053A">
        <w:rPr>
          <w:rFonts w:ascii="Times New Roman" w:eastAsia="Calibri" w:hAnsi="Times New Roman"/>
          <w:i/>
          <w:lang w:eastAsia="ru-RU"/>
        </w:rPr>
        <w:t>Гранулометричний склад допустимої кількості кусків дрібного вугілля повинен відповідати вимогам нормативної документації на дану продукцію.</w:t>
      </w:r>
    </w:p>
    <w:p w:rsidR="00270865" w:rsidRPr="0056053A" w:rsidRDefault="00270865" w:rsidP="00270865">
      <w:pPr>
        <w:widowControl w:val="0"/>
        <w:tabs>
          <w:tab w:val="left" w:pos="540"/>
        </w:tabs>
        <w:spacing w:after="0" w:line="240" w:lineRule="auto"/>
        <w:ind w:right="22"/>
        <w:jc w:val="both"/>
        <w:rPr>
          <w:rFonts w:ascii="Times New Roman" w:hAnsi="Times New Roman"/>
          <w:b/>
          <w:color w:val="000000"/>
          <w:lang w:eastAsia="ru-RU"/>
        </w:rPr>
      </w:pPr>
    </w:p>
    <w:p w:rsidR="00270865" w:rsidRPr="0056053A" w:rsidRDefault="00270865" w:rsidP="00270865">
      <w:pPr>
        <w:widowControl w:val="0"/>
        <w:tabs>
          <w:tab w:val="left" w:pos="540"/>
        </w:tabs>
        <w:spacing w:after="0" w:line="240" w:lineRule="auto"/>
        <w:ind w:right="22"/>
        <w:jc w:val="both"/>
        <w:rPr>
          <w:rFonts w:ascii="Times New Roman" w:hAnsi="Times New Roman"/>
          <w:b/>
          <w:color w:val="000000"/>
          <w:lang w:eastAsia="ru-RU"/>
        </w:rPr>
      </w:pPr>
      <w:r w:rsidRPr="0056053A">
        <w:rPr>
          <w:rFonts w:ascii="Times New Roman" w:hAnsi="Times New Roman"/>
          <w:b/>
          <w:color w:val="000000"/>
          <w:lang w:eastAsia="ru-RU"/>
        </w:rPr>
        <w:t xml:space="preserve">Вугілля </w:t>
      </w:r>
      <w:r w:rsidRPr="0056053A">
        <w:rPr>
          <w:rFonts w:ascii="Times New Roman" w:hAnsi="Times New Roman"/>
          <w:b/>
          <w:lang w:eastAsia="ru-RU"/>
        </w:rPr>
        <w:t xml:space="preserve"> повинно відповідати</w:t>
      </w:r>
      <w:r w:rsidRPr="0056053A">
        <w:rPr>
          <w:rFonts w:ascii="Times New Roman" w:hAnsi="Times New Roman"/>
          <w:b/>
          <w:color w:val="000000"/>
          <w:lang w:eastAsia="ru-RU"/>
        </w:rPr>
        <w:t xml:space="preserve">  наступним показникам якості:</w:t>
      </w:r>
    </w:p>
    <w:p w:rsidR="00270865" w:rsidRPr="0056053A" w:rsidRDefault="00270865" w:rsidP="00270865">
      <w:pPr>
        <w:widowControl w:val="0"/>
        <w:tabs>
          <w:tab w:val="left" w:pos="540"/>
        </w:tabs>
        <w:spacing w:after="0" w:line="240" w:lineRule="auto"/>
        <w:ind w:right="22"/>
        <w:jc w:val="both"/>
        <w:rPr>
          <w:rFonts w:ascii="Times New Roman" w:hAnsi="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6679"/>
        <w:gridCol w:w="2232"/>
      </w:tblGrid>
      <w:tr w:rsidR="00270865" w:rsidRPr="0056053A" w:rsidTr="00421BAB">
        <w:tc>
          <w:tcPr>
            <w:tcW w:w="675" w:type="dxa"/>
            <w:shd w:val="clear" w:color="auto" w:fill="auto"/>
            <w:vAlign w:val="center"/>
          </w:tcPr>
          <w:p w:rsidR="00270865" w:rsidRPr="0056053A" w:rsidRDefault="00270865" w:rsidP="00421BAB">
            <w:pPr>
              <w:widowControl w:val="0"/>
              <w:tabs>
                <w:tab w:val="left" w:pos="540"/>
              </w:tabs>
              <w:spacing w:after="0" w:line="240" w:lineRule="auto"/>
              <w:ind w:right="22"/>
              <w:jc w:val="center"/>
              <w:rPr>
                <w:rFonts w:ascii="Times New Roman" w:hAnsi="Times New Roman"/>
                <w:color w:val="000000"/>
                <w:lang w:eastAsia="ru-RU"/>
              </w:rPr>
            </w:pPr>
            <w:r w:rsidRPr="0056053A">
              <w:rPr>
                <w:rFonts w:ascii="Times New Roman" w:hAnsi="Times New Roman"/>
                <w:color w:val="000000"/>
                <w:lang w:eastAsia="ru-RU"/>
              </w:rPr>
              <w:t>1</w:t>
            </w:r>
          </w:p>
        </w:tc>
        <w:tc>
          <w:tcPr>
            <w:tcW w:w="6946" w:type="dxa"/>
            <w:shd w:val="clear" w:color="auto" w:fill="auto"/>
            <w:vAlign w:val="center"/>
          </w:tcPr>
          <w:p w:rsidR="00270865" w:rsidRPr="0056053A" w:rsidRDefault="00270865" w:rsidP="00421BAB">
            <w:pPr>
              <w:widowControl w:val="0"/>
              <w:tabs>
                <w:tab w:val="left" w:pos="540"/>
              </w:tabs>
              <w:spacing w:after="0" w:line="240" w:lineRule="auto"/>
              <w:ind w:right="22"/>
              <w:rPr>
                <w:rFonts w:ascii="Times New Roman" w:hAnsi="Times New Roman"/>
                <w:color w:val="000000"/>
                <w:lang w:eastAsia="ru-RU"/>
              </w:rPr>
            </w:pPr>
            <w:r w:rsidRPr="0056053A">
              <w:rPr>
                <w:rFonts w:ascii="Times New Roman" w:hAnsi="Times New Roman"/>
                <w:color w:val="000000"/>
                <w:lang w:eastAsia="ru-RU"/>
              </w:rPr>
              <w:t xml:space="preserve">Зольність </w:t>
            </w:r>
            <w:r w:rsidRPr="0056053A">
              <w:rPr>
                <w:rFonts w:ascii="Times New Roman" w:hAnsi="Times New Roman"/>
                <w:lang w:eastAsia="ru-RU"/>
              </w:rPr>
              <w:t>на сухий стан</w:t>
            </w:r>
            <w:r w:rsidRPr="0056053A">
              <w:rPr>
                <w:rFonts w:ascii="Times New Roman" w:hAnsi="Times New Roman"/>
                <w:b/>
                <w:lang w:eastAsia="ru-RU"/>
              </w:rPr>
              <w:t xml:space="preserve"> (A</w:t>
            </w:r>
            <w:r w:rsidRPr="0056053A">
              <w:rPr>
                <w:rFonts w:ascii="Times New Roman" w:hAnsi="Times New Roman"/>
                <w:b/>
                <w:vertAlign w:val="superscript"/>
                <w:lang w:eastAsia="ru-RU"/>
              </w:rPr>
              <w:t>d</w:t>
            </w:r>
            <w:r w:rsidRPr="0056053A">
              <w:rPr>
                <w:rFonts w:ascii="Times New Roman" w:hAnsi="Times New Roman"/>
                <w:lang w:eastAsia="ru-RU"/>
              </w:rPr>
              <w:t xml:space="preserve">) </w:t>
            </w:r>
          </w:p>
        </w:tc>
        <w:tc>
          <w:tcPr>
            <w:tcW w:w="2294" w:type="dxa"/>
            <w:shd w:val="clear" w:color="auto" w:fill="auto"/>
            <w:vAlign w:val="center"/>
          </w:tcPr>
          <w:p w:rsidR="00270865" w:rsidRPr="0056053A" w:rsidRDefault="00270865" w:rsidP="00421BAB">
            <w:pPr>
              <w:widowControl w:val="0"/>
              <w:tabs>
                <w:tab w:val="left" w:pos="540"/>
              </w:tabs>
              <w:spacing w:after="0" w:line="240" w:lineRule="auto"/>
              <w:ind w:right="22"/>
              <w:jc w:val="center"/>
              <w:rPr>
                <w:rFonts w:ascii="Times New Roman" w:hAnsi="Times New Roman"/>
                <w:color w:val="000000"/>
                <w:lang w:eastAsia="ru-RU"/>
              </w:rPr>
            </w:pPr>
            <w:r w:rsidRPr="0056053A">
              <w:rPr>
                <w:rFonts w:ascii="Times New Roman" w:hAnsi="Times New Roman"/>
                <w:color w:val="000000"/>
                <w:lang w:eastAsia="ru-RU"/>
              </w:rPr>
              <w:t>не більше 1</w:t>
            </w:r>
            <w:r w:rsidR="00D442C7">
              <w:rPr>
                <w:rFonts w:ascii="Times New Roman" w:hAnsi="Times New Roman"/>
                <w:color w:val="000000"/>
                <w:lang w:val="uk-UA" w:eastAsia="ru-RU"/>
              </w:rPr>
              <w:t>0</w:t>
            </w:r>
            <w:r w:rsidRPr="0056053A">
              <w:rPr>
                <w:rFonts w:ascii="Times New Roman" w:hAnsi="Times New Roman"/>
                <w:color w:val="000000"/>
                <w:lang w:eastAsia="ru-RU"/>
              </w:rPr>
              <w:t>%</w:t>
            </w:r>
          </w:p>
          <w:p w:rsidR="00270865" w:rsidRPr="0056053A" w:rsidRDefault="00270865" w:rsidP="00421BAB">
            <w:pPr>
              <w:widowControl w:val="0"/>
              <w:tabs>
                <w:tab w:val="left" w:pos="540"/>
              </w:tabs>
              <w:spacing w:after="0" w:line="240" w:lineRule="auto"/>
              <w:ind w:right="22"/>
              <w:jc w:val="center"/>
              <w:rPr>
                <w:rFonts w:ascii="Times New Roman" w:hAnsi="Times New Roman"/>
                <w:color w:val="000000"/>
                <w:lang w:eastAsia="ru-RU"/>
              </w:rPr>
            </w:pPr>
          </w:p>
        </w:tc>
      </w:tr>
      <w:tr w:rsidR="00270865" w:rsidRPr="0056053A" w:rsidTr="00421BAB">
        <w:tc>
          <w:tcPr>
            <w:tcW w:w="675" w:type="dxa"/>
            <w:shd w:val="clear" w:color="auto" w:fill="auto"/>
            <w:vAlign w:val="center"/>
          </w:tcPr>
          <w:p w:rsidR="00270865" w:rsidRPr="0056053A" w:rsidRDefault="00270865" w:rsidP="00421BAB">
            <w:pPr>
              <w:widowControl w:val="0"/>
              <w:tabs>
                <w:tab w:val="left" w:pos="540"/>
              </w:tabs>
              <w:spacing w:after="0" w:line="240" w:lineRule="auto"/>
              <w:ind w:right="22"/>
              <w:jc w:val="center"/>
              <w:rPr>
                <w:rFonts w:ascii="Times New Roman" w:hAnsi="Times New Roman"/>
                <w:color w:val="000000"/>
                <w:lang w:eastAsia="ru-RU"/>
              </w:rPr>
            </w:pPr>
            <w:r w:rsidRPr="0056053A">
              <w:rPr>
                <w:rFonts w:ascii="Times New Roman" w:hAnsi="Times New Roman"/>
                <w:color w:val="000000"/>
                <w:lang w:eastAsia="ru-RU"/>
              </w:rPr>
              <w:t>2</w:t>
            </w:r>
          </w:p>
        </w:tc>
        <w:tc>
          <w:tcPr>
            <w:tcW w:w="6946" w:type="dxa"/>
            <w:shd w:val="clear" w:color="auto" w:fill="auto"/>
            <w:vAlign w:val="center"/>
          </w:tcPr>
          <w:p w:rsidR="00270865" w:rsidRPr="0056053A" w:rsidRDefault="00270865" w:rsidP="00421BAB">
            <w:pPr>
              <w:widowControl w:val="0"/>
              <w:tabs>
                <w:tab w:val="left" w:pos="540"/>
              </w:tabs>
              <w:spacing w:after="0" w:line="240" w:lineRule="auto"/>
              <w:ind w:right="22"/>
              <w:rPr>
                <w:rFonts w:ascii="Times New Roman" w:hAnsi="Times New Roman"/>
                <w:color w:val="000000"/>
                <w:lang w:eastAsia="ru-RU"/>
              </w:rPr>
            </w:pPr>
            <w:r w:rsidRPr="0056053A">
              <w:rPr>
                <w:rFonts w:ascii="Times New Roman" w:hAnsi="Times New Roman"/>
                <w:color w:val="000000"/>
                <w:lang w:eastAsia="ru-RU"/>
              </w:rPr>
              <w:t>Масова частина загальної вологи (</w:t>
            </w:r>
            <w:r w:rsidRPr="0056053A">
              <w:rPr>
                <w:rFonts w:ascii="Times New Roman" w:hAnsi="Times New Roman"/>
                <w:b/>
                <w:lang w:eastAsia="ru-RU"/>
              </w:rPr>
              <w:t>W</w:t>
            </w:r>
            <w:r w:rsidRPr="0056053A">
              <w:rPr>
                <w:rFonts w:ascii="Times New Roman" w:hAnsi="Times New Roman"/>
                <w:b/>
                <w:vertAlign w:val="subscript"/>
                <w:lang w:eastAsia="ru-RU"/>
              </w:rPr>
              <w:t>t</w:t>
            </w:r>
            <w:r w:rsidRPr="0056053A">
              <w:rPr>
                <w:rFonts w:ascii="Times New Roman" w:hAnsi="Times New Roman"/>
                <w:b/>
                <w:vertAlign w:val="superscript"/>
                <w:lang w:eastAsia="ru-RU"/>
              </w:rPr>
              <w:t>r</w:t>
            </w:r>
            <w:r w:rsidRPr="0056053A">
              <w:rPr>
                <w:rFonts w:ascii="Times New Roman" w:hAnsi="Times New Roman"/>
                <w:color w:val="000000"/>
                <w:lang w:eastAsia="ru-RU"/>
              </w:rPr>
              <w:t>) в робочому стані</w:t>
            </w:r>
          </w:p>
        </w:tc>
        <w:tc>
          <w:tcPr>
            <w:tcW w:w="2294" w:type="dxa"/>
            <w:shd w:val="clear" w:color="auto" w:fill="auto"/>
            <w:vAlign w:val="center"/>
          </w:tcPr>
          <w:p w:rsidR="00270865" w:rsidRPr="0056053A" w:rsidRDefault="00270865" w:rsidP="00421BAB">
            <w:pPr>
              <w:widowControl w:val="0"/>
              <w:tabs>
                <w:tab w:val="left" w:pos="540"/>
              </w:tabs>
              <w:spacing w:after="0" w:line="240" w:lineRule="auto"/>
              <w:ind w:right="22"/>
              <w:jc w:val="center"/>
              <w:rPr>
                <w:rFonts w:ascii="Times New Roman" w:hAnsi="Times New Roman"/>
                <w:color w:val="000000"/>
                <w:lang w:eastAsia="ru-RU"/>
              </w:rPr>
            </w:pPr>
            <w:r w:rsidRPr="0056053A">
              <w:rPr>
                <w:rFonts w:ascii="Times New Roman" w:hAnsi="Times New Roman"/>
                <w:color w:val="000000"/>
                <w:lang w:eastAsia="ru-RU"/>
              </w:rPr>
              <w:t>не більше 1</w:t>
            </w:r>
            <w:r w:rsidR="00D442C7">
              <w:rPr>
                <w:rFonts w:ascii="Times New Roman" w:hAnsi="Times New Roman"/>
                <w:color w:val="000000"/>
                <w:lang w:val="uk-UA" w:eastAsia="ru-RU"/>
              </w:rPr>
              <w:t>0</w:t>
            </w:r>
            <w:r w:rsidRPr="0056053A">
              <w:rPr>
                <w:rFonts w:ascii="Times New Roman" w:hAnsi="Times New Roman"/>
                <w:color w:val="000000"/>
                <w:lang w:eastAsia="ru-RU"/>
              </w:rPr>
              <w:t>%</w:t>
            </w:r>
          </w:p>
          <w:p w:rsidR="00270865" w:rsidRPr="0056053A" w:rsidRDefault="00270865" w:rsidP="00421BAB">
            <w:pPr>
              <w:widowControl w:val="0"/>
              <w:tabs>
                <w:tab w:val="left" w:pos="540"/>
              </w:tabs>
              <w:spacing w:after="0" w:line="240" w:lineRule="auto"/>
              <w:ind w:right="22"/>
              <w:jc w:val="center"/>
              <w:rPr>
                <w:rFonts w:ascii="Times New Roman" w:hAnsi="Times New Roman"/>
                <w:color w:val="000000"/>
                <w:lang w:eastAsia="ru-RU"/>
              </w:rPr>
            </w:pPr>
          </w:p>
        </w:tc>
      </w:tr>
      <w:tr w:rsidR="00270865" w:rsidRPr="0056053A" w:rsidTr="00421BAB">
        <w:tc>
          <w:tcPr>
            <w:tcW w:w="675" w:type="dxa"/>
            <w:shd w:val="clear" w:color="auto" w:fill="auto"/>
            <w:vAlign w:val="center"/>
          </w:tcPr>
          <w:p w:rsidR="00270865" w:rsidRPr="0056053A" w:rsidRDefault="00270865" w:rsidP="00421BAB">
            <w:pPr>
              <w:widowControl w:val="0"/>
              <w:tabs>
                <w:tab w:val="left" w:pos="540"/>
              </w:tabs>
              <w:spacing w:after="0" w:line="240" w:lineRule="auto"/>
              <w:ind w:right="22"/>
              <w:jc w:val="center"/>
              <w:rPr>
                <w:rFonts w:ascii="Times New Roman" w:hAnsi="Times New Roman"/>
                <w:color w:val="000000"/>
                <w:lang w:eastAsia="ru-RU"/>
              </w:rPr>
            </w:pPr>
            <w:r w:rsidRPr="0056053A">
              <w:rPr>
                <w:rFonts w:ascii="Times New Roman" w:hAnsi="Times New Roman"/>
                <w:color w:val="000000"/>
                <w:lang w:eastAsia="ru-RU"/>
              </w:rPr>
              <w:t>3</w:t>
            </w:r>
          </w:p>
        </w:tc>
        <w:tc>
          <w:tcPr>
            <w:tcW w:w="6946" w:type="dxa"/>
            <w:shd w:val="clear" w:color="auto" w:fill="auto"/>
            <w:vAlign w:val="center"/>
          </w:tcPr>
          <w:p w:rsidR="00270865" w:rsidRPr="0056053A" w:rsidRDefault="00270865" w:rsidP="00421BAB">
            <w:pPr>
              <w:widowControl w:val="0"/>
              <w:tabs>
                <w:tab w:val="left" w:pos="540"/>
              </w:tabs>
              <w:spacing w:after="0" w:line="240" w:lineRule="auto"/>
              <w:ind w:right="22"/>
              <w:rPr>
                <w:rFonts w:ascii="Times New Roman" w:hAnsi="Times New Roman"/>
                <w:color w:val="000000"/>
                <w:lang w:eastAsia="ru-RU"/>
              </w:rPr>
            </w:pPr>
            <w:r w:rsidRPr="0056053A">
              <w:rPr>
                <w:rFonts w:ascii="Times New Roman" w:hAnsi="Times New Roman"/>
                <w:color w:val="000000"/>
                <w:lang w:eastAsia="ru-RU"/>
              </w:rPr>
              <w:t>Нижча теплота згорання на робочий стан палива</w:t>
            </w:r>
          </w:p>
        </w:tc>
        <w:tc>
          <w:tcPr>
            <w:tcW w:w="2294" w:type="dxa"/>
            <w:shd w:val="clear" w:color="auto" w:fill="auto"/>
            <w:vAlign w:val="center"/>
          </w:tcPr>
          <w:p w:rsidR="00270865" w:rsidRPr="0056053A" w:rsidRDefault="00270865" w:rsidP="00D442C7">
            <w:pPr>
              <w:widowControl w:val="0"/>
              <w:tabs>
                <w:tab w:val="left" w:pos="540"/>
              </w:tabs>
              <w:spacing w:after="0" w:line="240" w:lineRule="auto"/>
              <w:ind w:right="22"/>
              <w:jc w:val="center"/>
              <w:rPr>
                <w:rFonts w:ascii="Times New Roman" w:hAnsi="Times New Roman"/>
                <w:color w:val="000000"/>
                <w:lang w:eastAsia="ru-RU"/>
              </w:rPr>
            </w:pPr>
            <w:r w:rsidRPr="0056053A">
              <w:rPr>
                <w:rFonts w:ascii="Times New Roman" w:hAnsi="Times New Roman"/>
                <w:lang w:eastAsia="ru-RU"/>
              </w:rPr>
              <w:t xml:space="preserve">не менше ніж </w:t>
            </w:r>
            <w:r w:rsidR="00D442C7">
              <w:rPr>
                <w:rFonts w:ascii="Times New Roman" w:hAnsi="Times New Roman"/>
                <w:color w:val="000000"/>
                <w:lang w:val="uk-UA" w:eastAsia="ru-RU"/>
              </w:rPr>
              <w:t>61</w:t>
            </w:r>
            <w:r w:rsidRPr="0056053A">
              <w:rPr>
                <w:rFonts w:ascii="Times New Roman" w:hAnsi="Times New Roman"/>
                <w:color w:val="000000"/>
                <w:lang w:eastAsia="ru-RU"/>
              </w:rPr>
              <w:t>00</w:t>
            </w:r>
            <w:r w:rsidRPr="0056053A">
              <w:rPr>
                <w:rFonts w:ascii="Times New Roman" w:hAnsi="Times New Roman"/>
                <w:lang w:eastAsia="ru-RU"/>
              </w:rPr>
              <w:t xml:space="preserve"> Ккал/кг</w:t>
            </w:r>
          </w:p>
        </w:tc>
      </w:tr>
    </w:tbl>
    <w:p w:rsidR="00270865" w:rsidRPr="0056053A" w:rsidRDefault="00270865" w:rsidP="00270865">
      <w:pPr>
        <w:widowControl w:val="0"/>
        <w:tabs>
          <w:tab w:val="left" w:pos="540"/>
        </w:tabs>
        <w:spacing w:after="0" w:line="240" w:lineRule="auto"/>
        <w:ind w:right="22"/>
        <w:jc w:val="both"/>
        <w:rPr>
          <w:rFonts w:ascii="Times New Roman" w:hAnsi="Times New Roman"/>
          <w:lang w:eastAsia="ru-RU"/>
        </w:rPr>
      </w:pPr>
      <w:r w:rsidRPr="0056053A">
        <w:rPr>
          <w:rFonts w:ascii="Times New Roman" w:hAnsi="Times New Roman"/>
          <w:lang w:eastAsia="ru-RU"/>
        </w:rPr>
        <w:tab/>
      </w:r>
    </w:p>
    <w:p w:rsidR="00270865" w:rsidRPr="0056053A" w:rsidRDefault="00270865" w:rsidP="00270865">
      <w:pPr>
        <w:widowControl w:val="0"/>
        <w:tabs>
          <w:tab w:val="left" w:pos="540"/>
        </w:tabs>
        <w:spacing w:after="0" w:line="240" w:lineRule="auto"/>
        <w:ind w:right="22"/>
        <w:jc w:val="both"/>
        <w:rPr>
          <w:rFonts w:ascii="Times New Roman" w:hAnsi="Times New Roman"/>
          <w:lang w:eastAsia="ru-RU"/>
        </w:rPr>
      </w:pPr>
      <w:r w:rsidRPr="0056053A">
        <w:rPr>
          <w:rFonts w:ascii="Times New Roman" w:hAnsi="Times New Roman"/>
          <w:lang w:eastAsia="ru-RU"/>
        </w:rPr>
        <w:t xml:space="preserve">          Показники якості що характеризують безпечність вугілля (загальна сірка на сухий стан палива Sdt, (%), хлор на сухий стан CID(%), миш’як на сухий стан (ASD)  мають відповідати  таблиці  № 2  ДСТУ 7146:2010.</w:t>
      </w:r>
    </w:p>
    <w:p w:rsidR="00270865" w:rsidRPr="0056053A" w:rsidRDefault="00270865" w:rsidP="00270865">
      <w:pPr>
        <w:widowControl w:val="0"/>
        <w:tabs>
          <w:tab w:val="left" w:pos="540"/>
        </w:tabs>
        <w:spacing w:after="0" w:line="240" w:lineRule="auto"/>
        <w:ind w:right="22"/>
        <w:jc w:val="both"/>
        <w:rPr>
          <w:rFonts w:ascii="Times New Roman" w:hAnsi="Times New Roman"/>
          <w:lang w:eastAsia="ar-SA"/>
        </w:rPr>
      </w:pPr>
      <w:r w:rsidRPr="0056053A">
        <w:rPr>
          <w:rFonts w:ascii="Times New Roman" w:hAnsi="Times New Roman"/>
          <w:lang w:eastAsia="ru-RU"/>
        </w:rPr>
        <w:t xml:space="preserve">          </w:t>
      </w:r>
    </w:p>
    <w:p w:rsidR="00270865" w:rsidRPr="0056053A" w:rsidRDefault="00270865" w:rsidP="00270865">
      <w:pPr>
        <w:ind w:firstLine="708"/>
        <w:jc w:val="both"/>
        <w:textAlignment w:val="baseline"/>
        <w:rPr>
          <w:rFonts w:ascii="Times New Roman" w:eastAsia="Calibri" w:hAnsi="Times New Roman"/>
        </w:rPr>
      </w:pPr>
      <w:r w:rsidRPr="0056053A">
        <w:rPr>
          <w:rFonts w:ascii="Times New Roman" w:eastAsia="Calibri" w:hAnsi="Times New Roman"/>
        </w:rPr>
        <w:t xml:space="preserve">Учасник процедури закупівлі у складі тендерної пропозиції повинен надати слідуючі документи: </w:t>
      </w:r>
      <w:r w:rsidRPr="0056053A">
        <w:rPr>
          <w:rFonts w:ascii="Times New Roman" w:hAnsi="Times New Roman"/>
        </w:rPr>
        <w:t>Оригінал розширеного протоколу випробувань з висновками щодо відповідності заданим вимогам нормативних документів, оригінал сертифікату відповідності</w:t>
      </w:r>
      <w:r w:rsidRPr="0056053A">
        <w:rPr>
          <w:rFonts w:ascii="Times New Roman" w:eastAsia="Calibri" w:hAnsi="Times New Roman"/>
        </w:rPr>
        <w:t xml:space="preserve">  та оригінал сертифікату якості на найменування вугілля, визначені цією тендерною документацією. Вказані документи повинні  містити інформацію про зольність на сухий стан палива, загальну вологу на робочий стан палива, масову частку сірки, вихід летких речовин, нижчу теплоту згорання палива, вищу теплоту згорання палива, масову частку хлору. </w:t>
      </w:r>
      <w:r>
        <w:rPr>
          <w:rFonts w:ascii="Times New Roman" w:eastAsia="Calibri" w:hAnsi="Times New Roman"/>
        </w:rPr>
        <w:t>П</w:t>
      </w:r>
      <w:r w:rsidRPr="0056053A">
        <w:rPr>
          <w:rFonts w:ascii="Times New Roman" w:eastAsia="Calibri" w:hAnsi="Times New Roman"/>
        </w:rPr>
        <w:t xml:space="preserve">ри цьому дані показники якості повинні підтверджувати інформацію, зазначену у технічній специфікації, наданій у складі тендерної пропозиції учасника, а також, відповідати вимогам замовника щодо якісних показників вугілля. </w:t>
      </w:r>
    </w:p>
    <w:p w:rsidR="00270865" w:rsidRPr="0056053A" w:rsidRDefault="00270865" w:rsidP="00270865">
      <w:pPr>
        <w:jc w:val="both"/>
        <w:textAlignment w:val="baseline"/>
        <w:rPr>
          <w:rFonts w:ascii="Times New Roman" w:eastAsia="Calibri" w:hAnsi="Times New Roman"/>
        </w:rPr>
      </w:pPr>
      <w:r>
        <w:rPr>
          <w:rFonts w:ascii="Times New Roman" w:hAnsi="Times New Roman"/>
        </w:rPr>
        <w:lastRenderedPageBreak/>
        <w:t xml:space="preserve">        </w:t>
      </w:r>
      <w:r w:rsidRPr="0056053A">
        <w:rPr>
          <w:rFonts w:ascii="Times New Roman" w:eastAsia="Calibri" w:hAnsi="Times New Roma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у довільній формі, в якій засвідчено факт відповідності діяльності учасника вимогам законодавства про захист довкілля, а саме на відповідність законам Закону України «Про охорону навколишнього природного середовища»; Закону України «Про питну воду, питне водопостачання та водовідведення»; Закону України «Про відходи»; Закону України «Про охорону атмосферного повітря»; Закону України «Про екологічний аудит».</w:t>
      </w:r>
    </w:p>
    <w:p w:rsidR="00270865" w:rsidRPr="0056053A" w:rsidRDefault="00270865" w:rsidP="00270865">
      <w:pPr>
        <w:rPr>
          <w:rFonts w:ascii="Times New Roman" w:hAnsi="Times New Roman"/>
          <w:color w:val="000000"/>
          <w:sz w:val="24"/>
          <w:szCs w:val="24"/>
        </w:rPr>
      </w:pPr>
      <w:r w:rsidRPr="0056053A">
        <w:rPr>
          <w:rFonts w:ascii="Times New Roman" w:hAnsi="Times New Roman"/>
          <w:color w:val="000000"/>
          <w:sz w:val="24"/>
          <w:szCs w:val="24"/>
        </w:rPr>
        <w:t xml:space="preserve">     </w:t>
      </w:r>
    </w:p>
    <w:p w:rsidR="00270865" w:rsidRPr="00270865" w:rsidRDefault="00270865"/>
    <w:p w:rsidR="00270865" w:rsidRDefault="00270865">
      <w:pPr>
        <w:rPr>
          <w:lang w:val="uk-UA"/>
        </w:rPr>
      </w:pPr>
    </w:p>
    <w:p w:rsidR="00270865" w:rsidRDefault="00270865">
      <w:pPr>
        <w:rPr>
          <w:lang w:val="uk-UA"/>
        </w:rPr>
      </w:pPr>
    </w:p>
    <w:p w:rsidR="00270865" w:rsidRDefault="00270865">
      <w:pPr>
        <w:rPr>
          <w:lang w:val="uk-UA"/>
        </w:rPr>
      </w:pPr>
    </w:p>
    <w:p w:rsidR="00270865" w:rsidRDefault="00270865">
      <w:pPr>
        <w:rPr>
          <w:lang w:val="uk-UA"/>
        </w:rPr>
      </w:pPr>
    </w:p>
    <w:p w:rsidR="00270865" w:rsidRDefault="00270865">
      <w:pPr>
        <w:rPr>
          <w:lang w:val="uk-UA"/>
        </w:rPr>
      </w:pPr>
    </w:p>
    <w:p w:rsidR="00270865" w:rsidRDefault="00270865">
      <w:pPr>
        <w:rPr>
          <w:lang w:val="uk-UA"/>
        </w:rPr>
      </w:pPr>
    </w:p>
    <w:p w:rsidR="00270865" w:rsidRPr="00270865" w:rsidRDefault="00270865">
      <w:pPr>
        <w:rPr>
          <w:lang w:val="uk-UA"/>
        </w:rPr>
      </w:pPr>
    </w:p>
    <w:sectPr w:rsidR="00270865" w:rsidRPr="00270865" w:rsidSect="00EE111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70865"/>
    <w:rsid w:val="00270865"/>
    <w:rsid w:val="004815F6"/>
    <w:rsid w:val="005F3D19"/>
    <w:rsid w:val="00D442C7"/>
    <w:rsid w:val="00EE111A"/>
    <w:rsid w:val="00EF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70865"/>
    <w:pPr>
      <w:spacing w:before="100" w:beforeAutospacing="1" w:after="100" w:afterAutospacing="1" w:line="240" w:lineRule="auto"/>
    </w:pPr>
    <w:rPr>
      <w:rFonts w:ascii="Times New Roman" w:hAnsi="Times New Roman"/>
      <w:sz w:val="24"/>
      <w:szCs w:val="24"/>
      <w:lang w:eastAsia="ru-RU"/>
    </w:rPr>
  </w:style>
  <w:style w:type="paragraph" w:styleId="a3">
    <w:name w:val="No Spacing"/>
    <w:link w:val="a4"/>
    <w:uiPriority w:val="1"/>
    <w:qFormat/>
    <w:rsid w:val="00270865"/>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270865"/>
    <w:rPr>
      <w:rFonts w:ascii="Calibri" w:eastAsia="Times New Roman" w:hAnsi="Calibri" w:cs="Times New Roman"/>
    </w:rPr>
  </w:style>
  <w:style w:type="paragraph" w:customStyle="1" w:styleId="TableParagraph">
    <w:name w:val="Table Paragraph"/>
    <w:basedOn w:val="a"/>
    <w:uiPriority w:val="1"/>
    <w:qFormat/>
    <w:rsid w:val="00270865"/>
    <w:pPr>
      <w:widowControl w:val="0"/>
      <w:autoSpaceDE w:val="0"/>
      <w:autoSpaceDN w:val="0"/>
      <w:spacing w:after="0" w:line="240" w:lineRule="auto"/>
      <w:ind w:left="110"/>
    </w:pPr>
    <w:rPr>
      <w:rFonts w:ascii="Times New Roman" w:hAnsi="Times New Roman"/>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5</cp:revision>
  <dcterms:created xsi:type="dcterms:W3CDTF">2022-08-09T12:39:00Z</dcterms:created>
  <dcterms:modified xsi:type="dcterms:W3CDTF">2022-08-09T13:13:00Z</dcterms:modified>
</cp:coreProperties>
</file>