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Обгрунтування</w:t>
      </w:r>
    </w:p>
    <w:p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доцільності закупівлі, її обсягів, якісних характеристик та очікуваної ціни</w:t>
      </w:r>
    </w:p>
    <w:p>
      <w:pPr>
        <w:pStyle w:val="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 2024році</w:t>
      </w:r>
    </w:p>
    <w:p>
      <w:pPr>
        <w:pStyle w:val="9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№ 1 від 05.01.2024р.</w:t>
      </w:r>
    </w:p>
    <w:p>
      <w:pPr>
        <w:pStyle w:val="9"/>
        <w:rPr>
          <w:lang w:val="ru-RU"/>
        </w:rPr>
      </w:pP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Замовник: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Школа І-Ш ступенів № 147 Деснянського району міста Києва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Адреса замовника: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02166 м. Київ, проспект Лісовий 17-В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1. Доцільність закупівлі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На виконання вимог: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Статті 56 Закону України «Про освіту»,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статті 21 Закону України «Про загальну середню освіту»,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статті 5 Закону України «Про охорону дитинства»,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статті 7 Закону України "Про забезпечення прав і свобод внутрішньо переміщених осіб»,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статей 10, 10", 15 Закону України «Про статус ветеранів війни, гарантії їх соціального захисту»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Постанов Кабінету Міністрів України: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від 19 червня 2002 року Хо 856 «Про організацію харчування окремих категорій учнів у</w:t>
      </w:r>
    </w:p>
    <w:p>
      <w:pPr>
        <w:pStyle w:val="9"/>
        <w:ind w:left="72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загальноосвітніх навчальних закладах»,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від 02 лютого 2011 року Хо 116 «Про затвердження Порядку надання послуг з харчування дітей у</w:t>
      </w:r>
    </w:p>
    <w:p>
      <w:pPr>
        <w:pStyle w:val="9"/>
        <w:ind w:left="72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дошкільних, учнів у загальноосвітніх та професійно-технічних навчальних закладах, операції з</w:t>
      </w:r>
    </w:p>
    <w:p>
      <w:pPr>
        <w:pStyle w:val="9"/>
        <w:ind w:left="72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надання яких звільняються від обкладення податком на додану вартість»,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від 24 березня 2021 року Мо305 «Про затвердження норм та порядку організації харчування у</w:t>
      </w:r>
    </w:p>
    <w:p>
      <w:pPr>
        <w:pStyle w:val="9"/>
        <w:ind w:left="72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закладах освіти та дитячих закладах оздоровлення та відпочинку»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Рішень Київської міської ради:</w:t>
      </w:r>
    </w:p>
    <w:p>
      <w:pPr>
        <w:pStyle w:val="9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від 09 жовтня 2014 року Хе 271/271 «Про надання додаткових гарантій учасникам</w:t>
      </w:r>
    </w:p>
    <w:p>
      <w:pPr>
        <w:pStyle w:val="9"/>
        <w:ind w:left="72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антитерористичної операції та членам їх сімей» (зі змінами внесеними рішенням Київської міської ради від 21 грудня 2017 року Ме 1051/4058),</w:t>
      </w:r>
    </w:p>
    <w:p>
      <w:pPr>
        <w:pStyle w:val="9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від 03 березня 2016 року Мо» 118/118 «Про надання додаткових пільг та гарантій сім'ям киян -</w:t>
      </w:r>
    </w:p>
    <w:p>
      <w:pPr>
        <w:pStyle w:val="9"/>
        <w:ind w:left="72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Героїв Небесної Сотні та киянам - постраждалим учасникам Революції Гідності» (зі змінами</w:t>
      </w:r>
    </w:p>
    <w:p>
      <w:pPr>
        <w:pStyle w:val="9"/>
        <w:ind w:left="72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внесеними рішенням Київської міської ради від 21 грудня 2017 року Хе 1050/4057),</w:t>
      </w:r>
    </w:p>
    <w:p>
      <w:pPr>
        <w:pStyle w:val="9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від 18 грудня 2018 року Хо 467/6518 «Про затвердження міської комплексної цільової програми</w:t>
      </w:r>
    </w:p>
    <w:p>
      <w:pPr>
        <w:pStyle w:val="9"/>
        <w:ind w:left="72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«Освіта Києва 2019-2023 роки»,</w:t>
      </w:r>
    </w:p>
    <w:p>
      <w:pPr>
        <w:pStyle w:val="9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від 01 червня 2017 року Хо 418/2640 «Про визнання бійців-добровольців, які брали участь у</w:t>
      </w:r>
    </w:p>
    <w:p>
      <w:pPr>
        <w:pStyle w:val="9"/>
        <w:ind w:left="72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захисті територіальної цілісності та державного суверенітету на сході України» (зі змінами</w:t>
      </w:r>
    </w:p>
    <w:p>
      <w:pPr>
        <w:pStyle w:val="9"/>
        <w:ind w:left="72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внесеними рішенням Київської міської ради від 21 грудня 2017 року Хо 1049/4056),</w:t>
      </w:r>
    </w:p>
    <w:p>
      <w:pPr>
        <w:pStyle w:val="9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від 24 листопада 2022 року Мо5669/5710 «Про забезпечення харчування учнів з числа дітей з</w:t>
      </w:r>
    </w:p>
    <w:p>
      <w:pPr>
        <w:pStyle w:val="9"/>
        <w:ind w:left="72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інвалідністю, які здобувають освіту в комунальних закладах загальної середньої освіти</w:t>
      </w:r>
    </w:p>
    <w:p>
      <w:pPr>
        <w:pStyle w:val="9"/>
        <w:ind w:left="72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територіальної громади міста Києва»,</w:t>
      </w:r>
    </w:p>
    <w:p>
      <w:pPr>
        <w:pStyle w:val="9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від 15 грудня 2022 року Хо 5892/5933 «Про надання додаткових пільг та гарантій киянам, які</w:t>
      </w:r>
    </w:p>
    <w:p>
      <w:pPr>
        <w:pStyle w:val="9"/>
        <w:ind w:left="72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приймали (приймають) участь у заходах, необхідних для забезпечення оборони України, захисту</w:t>
      </w:r>
    </w:p>
    <w:p>
      <w:pPr>
        <w:pStyle w:val="9"/>
        <w:ind w:left="72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безпеки населення та інтересів держави у зв'язку з військовою агресією російської федерації протии України, членам їх сімей, членам загиблих (померлих) Захисників та Захисниць України»,</w:t>
      </w:r>
    </w:p>
    <w:p>
      <w:pPr>
        <w:pStyle w:val="9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від 05.11.2012 року 2870/1246 «Про посилення заходів з профілактики гострих кишкових інфек-цій та харчових отруєнь серед дітей загальноосвітніх навчальних закладів» спільний наказ</w:t>
      </w:r>
    </w:p>
    <w:p>
      <w:pPr>
        <w:pStyle w:val="9"/>
        <w:ind w:left="72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Міністерства охорони здоров'я України і Міністерства освіти і науки молоді та спорту України, </w:t>
      </w:r>
    </w:p>
    <w:p>
      <w:pPr>
        <w:pStyle w:val="9"/>
        <w:ind w:left="720"/>
        <w:rPr>
          <w:rFonts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від 01.10.2012 Мо590 «Про затвердження Вимог щодо розробки, впровадження та застосування постійно діючих процедур, заснованих на принципах Систем управління безпечності харчових продуктів НАССР»,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від 30.10.2020 року Ме2208 Міністерство розвитку економіки, торгівлі та сільського господарства України наказ «Про затвердження методичних рекомендацій щодо методології особливостей здійснення закупівель у сфері організації харчування в закладах освіти»</w:t>
      </w:r>
    </w:p>
    <w:p>
      <w:pPr>
        <w:pStyle w:val="9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наказів Управління освіти Деснянської районної в місті Києві державної адміністрації, що регламентують організацію харчування дітей в закладах освіти і відповідних їм наказів по школі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2. Необхідні обсяги закупівлі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Всього порцій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6338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з них :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для дітей 6-11 років 2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464</w:t>
      </w:r>
      <w:r>
        <w:rPr>
          <w:rFonts w:ascii="Times New Roman" w:hAnsi="Times New Roman" w:cs="Times New Roman"/>
          <w:sz w:val="22"/>
          <w:szCs w:val="22"/>
          <w:lang w:val="ru-RU"/>
        </w:rPr>
        <w:t>; .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 для дітей 11-14 років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2849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; 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для дітей 14-18 років 1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02</w:t>
      </w:r>
      <w:r>
        <w:rPr>
          <w:rFonts w:ascii="Times New Roman" w:hAnsi="Times New Roman" w:cs="Times New Roman"/>
          <w:sz w:val="22"/>
          <w:szCs w:val="22"/>
          <w:lang w:val="ru-RU"/>
        </w:rPr>
        <w:t>5;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кількість дітей 6-11 років - 3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2</w:t>
      </w:r>
      <w:r>
        <w:rPr>
          <w:rFonts w:ascii="Times New Roman" w:hAnsi="Times New Roman" w:cs="Times New Roman"/>
          <w:sz w:val="22"/>
          <w:szCs w:val="22"/>
          <w:lang w:val="ru-RU"/>
        </w:rPr>
        <w:t>;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 кількість дітей 11-14 років -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37</w:t>
      </w:r>
      <w:r>
        <w:rPr>
          <w:rFonts w:ascii="Times New Roman" w:hAnsi="Times New Roman" w:cs="Times New Roman"/>
          <w:sz w:val="22"/>
          <w:szCs w:val="22"/>
          <w:lang w:val="ru-RU"/>
        </w:rPr>
        <w:t>;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 кількість дітей 14-18 років -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14</w:t>
      </w:r>
      <w:r>
        <w:rPr>
          <w:rFonts w:ascii="Times New Roman" w:hAnsi="Times New Roman" w:cs="Times New Roman"/>
          <w:sz w:val="22"/>
          <w:szCs w:val="22"/>
          <w:lang w:val="ru-RU"/>
        </w:rPr>
        <w:t>;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кількість робочих навчальних днів - 77</w:t>
      </w:r>
    </w:p>
    <w:p>
      <w:pPr>
        <w:pStyle w:val="9"/>
        <w:rPr>
          <w:rFonts w:ascii="Times New Roman" w:hAnsi="Times New Roman" w:cs="Times New Roman"/>
          <w:b/>
          <w:sz w:val="22"/>
          <w:szCs w:val="22"/>
          <w:lang w:val="ru-RU"/>
        </w:rPr>
      </w:pPr>
    </w:p>
    <w:p>
      <w:pPr>
        <w:pStyle w:val="9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3. Якісні характеристики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Сніданки, що відповідають вимогам Постанови КМУ ХОо305 від 24.03.2021 р. «Про затвердження норм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та Порядку організації харчування у закладах освіти та дитячих закладах оздоровлення та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відпочинку» із змінами і доповненнями</w:t>
      </w:r>
    </w:p>
    <w:p>
      <w:pPr>
        <w:pStyle w:val="9"/>
        <w:rPr>
          <w:rFonts w:ascii="Times New Roman" w:hAnsi="Times New Roman" w:cs="Times New Roman"/>
          <w:b/>
          <w:sz w:val="22"/>
          <w:szCs w:val="22"/>
          <w:lang w:val="ru-RU"/>
        </w:rPr>
      </w:pPr>
    </w:p>
    <w:p>
      <w:pPr>
        <w:pStyle w:val="9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4. Очікувана ціна і обсяги закупівлі</w:t>
      </w:r>
    </w:p>
    <w:p>
      <w:pPr>
        <w:pStyle w:val="9"/>
        <w:rPr>
          <w:rFonts w:ascii="Times New Roman" w:hAnsi="Times New Roman" w:cs="Times New Roman"/>
          <w:b/>
          <w:sz w:val="22"/>
          <w:szCs w:val="22"/>
          <w:lang w:val="ru-RU"/>
        </w:rPr>
      </w:pP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Очікувана ціна за одну порцію без ПДВ: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для дітей 6-11 років вартість сніданку 76 гривень;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для дітей 11-14 років вартість сніданку 78 гривень;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для дітей 15-18 років вартість сніданку 80 гривень;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Очікувана вартість закупівлі з дня завершення 20%-вої додаткової угоди укладеної в 2023 році від вартості договору 2023 року для проведення торгів на 2024 рік до 31.05.2024 року: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480</w:t>
      </w:r>
      <w:bookmarkStart w:id="0" w:name="_GoBack"/>
      <w:bookmarkEnd w:id="0"/>
      <w:r>
        <w:rPr>
          <w:rFonts w:hint="default" w:ascii="Times New Roman" w:hAnsi="Times New Roman" w:cs="Times New Roman"/>
          <w:sz w:val="22"/>
          <w:szCs w:val="22"/>
          <w:lang w:val="ru-RU"/>
        </w:rPr>
        <w:t>00</w:t>
      </w:r>
      <w:r>
        <w:rPr>
          <w:rFonts w:ascii="Times New Roman" w:hAnsi="Times New Roman" w:cs="Times New Roman"/>
          <w:sz w:val="22"/>
          <w:szCs w:val="22"/>
          <w:lang w:val="ru-RU"/>
        </w:rPr>
        <w:t>0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,00 гривень       (Пятьсот девяносто одна тисяча триста шістдесят ) гривень 00 копійок, без ПДВ.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Вартість закупівлі складається з сум: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для дітей 6-11 років –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180000</w:t>
      </w:r>
      <w:r>
        <w:rPr>
          <w:rFonts w:ascii="Times New Roman" w:hAnsi="Times New Roman" w:cs="Times New Roman"/>
          <w:sz w:val="22"/>
          <w:szCs w:val="22"/>
          <w:lang w:val="ru-RU"/>
        </w:rPr>
        <w:t>,00 гривень;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для дітей 11-14 років – 2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20000</w:t>
      </w:r>
      <w:r>
        <w:rPr>
          <w:rFonts w:ascii="Times New Roman" w:hAnsi="Times New Roman" w:cs="Times New Roman"/>
          <w:sz w:val="22"/>
          <w:szCs w:val="22"/>
          <w:lang w:val="ru-RU"/>
        </w:rPr>
        <w:t>,00 гривень;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 для дітей 14-18 років –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8000</w:t>
      </w:r>
      <w:r>
        <w:rPr>
          <w:rFonts w:ascii="Times New Roman" w:hAnsi="Times New Roman" w:cs="Times New Roman"/>
          <w:sz w:val="22"/>
          <w:szCs w:val="22"/>
          <w:lang w:val="ru-RU"/>
        </w:rPr>
        <w:t>0,00 гривень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5. Підстава і умови використання процедури закупівлі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5.41. Враховуючи: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статті 4 та 11 Закону України «Про публічні закупівлі»;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Положення про уповноважену особу, що затверджене наказом по школі І-ПІ ступенів М» 259 Дес-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нянського району міста Києва від 20.04.2020 р. Хо 26;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Постанову КМ України від 12 жовтня 2022 р. Хо 1178 «Про затвердження особливостей здійснення ,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публічних закупівель товарів, робіт і послуг для замовників, передбачених Законом України "Про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публічні закупівлі", на період дії правового режиму воєнного стану в Україні та протягом 90 днів з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дня його припинення або скасування»;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Постанову КМ України від 30.12. 2022р. Хо 1495 «Про внесення змін до особливостей здійснення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публічних закупівель товарів, робіт і послуг для замовників, передбачених Законом України "Про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публічні закупівлі", на період дії правового режиму воєнного стану в Україні та протягом 90 днів з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дня його припинення або скасування»;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Постанову Хо 471 від 12.05.2023р. «Зміни, що внося-ться до Постанови КМ України від 12.10.22р.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351178 і від 21.03.23 Мо253»;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Постанову КМ України від 1 вересня 2023 р. Мо 952 «Зміни, що вносяться до особливостей здійс-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нення публічних закупівель товарів, робіт і послуг для замовників, передбачених Законом України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"Про публічні закупівлі", на період дії правового режиму воєнного стану в Україні та протягом 90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днів з дня Його припинення або скасування».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5.2. ДК 021:2015 код СРУ 55520000-1 кейтерінгові послуги (послуги з організації шкільного харчу-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вання, забезпечення одноразовим гарячим харчуванням учнів пільгових категорій в 2024 році)</w:t>
      </w:r>
    </w:p>
    <w:p>
      <w:pPr>
        <w:pStyle w:val="9"/>
        <w:rPr>
          <w:rFonts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rPr>
          <w:rFonts w:ascii="Times New Roman" w:hAnsi="Times New Roman" w:cs="Times New Roman"/>
          <w:sz w:val="22"/>
          <w:szCs w:val="22"/>
          <w:lang w:val="uk-UA"/>
        </w:rPr>
      </w:pPr>
    </w:p>
    <w:p>
      <w:pPr>
        <w:pStyle w:val="9"/>
        <w:rPr>
          <w:rFonts w:ascii="Times New Roman" w:hAnsi="Times New Roman" w:cs="Times New Roman"/>
          <w:sz w:val="22"/>
          <w:szCs w:val="22"/>
          <w:lang w:val="uk-UA"/>
        </w:rPr>
      </w:pPr>
    </w:p>
    <w:p>
      <w:pPr>
        <w:pStyle w:val="9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</w:rPr>
        <w:t xml:space="preserve">Уповноважена особа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                                                                                 Микола ЯКОВЕЦЬКИЙ</w:t>
      </w:r>
    </w:p>
    <w:p>
      <w:pPr>
        <w:pStyle w:val="9"/>
        <w:rPr>
          <w:rFonts w:ascii="Times New Roman" w:hAnsi="Times New Roman" w:cs="Times New Roman"/>
          <w:sz w:val="22"/>
          <w:szCs w:val="22"/>
        </w:rPr>
      </w:pPr>
    </w:p>
    <w:sectPr>
      <w:pgSz w:w="12240" w:h="15840"/>
      <w:pgMar w:top="851" w:right="1134" w:bottom="1134" w:left="1134" w:header="0" w:footer="0" w:gutter="0"/>
      <w:cols w:space="708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Source Han Serif CN">
    <w:altName w:val="SimSun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Source Han Sans CN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Mono">
    <w:altName w:val="Courier New"/>
    <w:panose1 w:val="00000000000000000000"/>
    <w:charset w:val="01"/>
    <w:family w:val="modern"/>
    <w:pitch w:val="default"/>
    <w:sig w:usb0="00000000" w:usb1="00000000" w:usb2="00000000" w:usb3="00000000" w:csb0="00000000" w:csb1="00000000"/>
  </w:font>
  <w:font w:name="Noto Sans Mono CJK SC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DA07B7"/>
    <w:multiLevelType w:val="multilevel"/>
    <w:tmpl w:val="2BDA07B7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0F97656"/>
    <w:multiLevelType w:val="multilevel"/>
    <w:tmpl w:val="60F97656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E07A2B"/>
    <w:rsid w:val="0003748D"/>
    <w:rsid w:val="00083B53"/>
    <w:rsid w:val="002446C5"/>
    <w:rsid w:val="008C04DD"/>
    <w:rsid w:val="00945A6E"/>
    <w:rsid w:val="00952919"/>
    <w:rsid w:val="00BA234A"/>
    <w:rsid w:val="00BA2B45"/>
    <w:rsid w:val="00DC490F"/>
    <w:rsid w:val="00E07A2B"/>
    <w:rsid w:val="00FB2C48"/>
    <w:rsid w:val="783A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Source Han Serif CN" w:cs="Noto Sans Devanaga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Liberation Serif" w:hAnsi="Liberation Serif" w:eastAsia="Source Han Serif CN" w:cs="Noto Sans Devanagari"/>
      <w:sz w:val="24"/>
      <w:szCs w:val="24"/>
      <w:lang w:val="en-US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after="140" w:line="276" w:lineRule="auto"/>
    </w:pPr>
  </w:style>
  <w:style w:type="paragraph" w:styleId="5">
    <w:name w:val="List"/>
    <w:basedOn w:val="4"/>
    <w:uiPriority w:val="0"/>
  </w:style>
  <w:style w:type="paragraph" w:customStyle="1" w:styleId="6">
    <w:name w:val="Heading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Source Han Sans CN"/>
      <w:sz w:val="28"/>
      <w:szCs w:val="28"/>
    </w:rPr>
  </w:style>
  <w:style w:type="paragraph" w:customStyle="1" w:styleId="7">
    <w:name w:val="Название объекта1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8">
    <w:name w:val="Index"/>
    <w:basedOn w:val="1"/>
    <w:qFormat/>
    <w:uiPriority w:val="0"/>
    <w:pPr>
      <w:suppressLineNumbers/>
    </w:pPr>
  </w:style>
  <w:style w:type="paragraph" w:customStyle="1" w:styleId="9">
    <w:name w:val="Preformatted Text"/>
    <w:basedOn w:val="1"/>
    <w:qFormat/>
    <w:uiPriority w:val="0"/>
    <w:rPr>
      <w:rFonts w:ascii="Liberation Mono" w:hAnsi="Liberation Mono" w:eastAsia="Noto Sans Mono CJK SC" w:cs="Liberation Mono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 name="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977</Words>
  <Characters>5573</Characters>
  <Lines>46</Lines>
  <Paragraphs>13</Paragraphs>
  <TotalTime>14</TotalTime>
  <ScaleCrop>false</ScaleCrop>
  <LinksUpToDate>false</LinksUpToDate>
  <CharactersWithSpaces>6537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2024-01-05T11:41:00Z</dcterms:created>
  <dc:creator>Ірина Миколаївна</dc:creator>
  <cp:lastModifiedBy>Valentina</cp:lastModifiedBy>
  <cp:lastPrinted>2024-01-06T15:50:00Z</cp:lastPrinted>
  <dcterms:modified xsi:type="dcterms:W3CDTF">2024-01-10T19:55:05Z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1033-12.2.0.13412</vt:lpwstr>
  </property>
  <property fmtid="{D5CDD505-2E9C-101B-9397-08002B2CF9AE}" pid="3" name="ICV">
    <vt:lpwstr>53E66849BD044233962E265ED0C6C80E_12</vt:lpwstr>
  </property>
</Properties>
</file>