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C3" w:rsidRPr="00582AC3" w:rsidRDefault="00582AC3" w:rsidP="001560B3">
      <w:pPr>
        <w:widowControl w:val="0"/>
        <w:suppressAutoHyphens/>
        <w:autoSpaceDE w:val="0"/>
        <w:autoSpaceDN w:val="0"/>
        <w:spacing w:after="0" w:line="240" w:lineRule="auto"/>
        <w:ind w:left="6521"/>
        <w:rPr>
          <w:rFonts w:ascii="Times New Roman" w:eastAsia="Times New Roman" w:hAnsi="Times New Roman" w:cs="Times New Roman"/>
          <w:b/>
          <w:bCs/>
          <w:color w:val="000000"/>
          <w:sz w:val="24"/>
          <w:szCs w:val="24"/>
          <w:lang w:eastAsia="ar-SA"/>
        </w:rPr>
      </w:pPr>
      <w:r w:rsidRPr="00582AC3">
        <w:rPr>
          <w:rFonts w:ascii="Times New Roman" w:eastAsia="Times New Roman" w:hAnsi="Times New Roman" w:cs="Times New Roman"/>
          <w:b/>
          <w:bCs/>
          <w:color w:val="000000"/>
          <w:sz w:val="24"/>
          <w:szCs w:val="24"/>
          <w:lang w:eastAsia="ar-SA"/>
        </w:rPr>
        <w:t>ЗАТВЕРДЖЕНО</w:t>
      </w:r>
    </w:p>
    <w:p w:rsidR="00582AC3" w:rsidRPr="00582AC3" w:rsidRDefault="00582AC3" w:rsidP="001560B3">
      <w:pPr>
        <w:widowControl w:val="0"/>
        <w:suppressAutoHyphens/>
        <w:autoSpaceDE w:val="0"/>
        <w:autoSpaceDN w:val="0"/>
        <w:spacing w:after="0" w:line="240" w:lineRule="auto"/>
        <w:ind w:left="6521"/>
        <w:rPr>
          <w:rFonts w:ascii="Times New Roman" w:eastAsia="Times New Roman" w:hAnsi="Times New Roman" w:cs="Times New Roman"/>
          <w:bCs/>
          <w:color w:val="000000"/>
          <w:sz w:val="24"/>
          <w:szCs w:val="24"/>
          <w:lang w:eastAsia="ar-SA"/>
        </w:rPr>
      </w:pPr>
      <w:r w:rsidRPr="00AF7C1D">
        <w:rPr>
          <w:rFonts w:ascii="Times New Roman" w:eastAsia="Times New Roman" w:hAnsi="Times New Roman" w:cs="Times New Roman"/>
          <w:sz w:val="24"/>
          <w:szCs w:val="24"/>
        </w:rPr>
        <w:t xml:space="preserve">Згідно рішення </w:t>
      </w:r>
      <w:r w:rsidRPr="001560B3">
        <w:rPr>
          <w:rFonts w:ascii="Times New Roman" w:eastAsia="Times New Roman" w:hAnsi="Times New Roman" w:cs="Times New Roman"/>
          <w:bCs/>
          <w:color w:val="000000"/>
          <w:sz w:val="24"/>
          <w:szCs w:val="24"/>
          <w:lang w:eastAsia="ar-SA"/>
        </w:rPr>
        <w:t>Уповноваженої особи</w:t>
      </w:r>
    </w:p>
    <w:p w:rsidR="00582AC3" w:rsidRPr="00582AC3" w:rsidRDefault="00582AC3" w:rsidP="001560B3">
      <w:pPr>
        <w:widowControl w:val="0"/>
        <w:suppressAutoHyphens/>
        <w:autoSpaceDE w:val="0"/>
        <w:autoSpaceDN w:val="0"/>
        <w:spacing w:after="0" w:line="240" w:lineRule="auto"/>
        <w:ind w:left="6521"/>
        <w:rPr>
          <w:rFonts w:ascii="Times New Roman" w:eastAsia="Times New Roman" w:hAnsi="Times New Roman" w:cs="Times New Roman"/>
          <w:bCs/>
          <w:color w:val="000000"/>
          <w:sz w:val="24"/>
          <w:szCs w:val="24"/>
          <w:lang w:eastAsia="ar-SA"/>
        </w:rPr>
      </w:pPr>
      <w:r w:rsidRPr="00582AC3">
        <w:rPr>
          <w:rFonts w:ascii="Times New Roman" w:eastAsia="Times New Roman" w:hAnsi="Times New Roman" w:cs="Times New Roman"/>
          <w:bCs/>
          <w:color w:val="000000"/>
          <w:sz w:val="24"/>
          <w:szCs w:val="24"/>
          <w:lang w:eastAsia="ar-SA"/>
        </w:rPr>
        <w:t xml:space="preserve">11 КОМЕНДАТУРИ ОХОРОНИ ТА ОБСЛУГОВУВАННЯ, </w:t>
      </w:r>
    </w:p>
    <w:p w:rsidR="00582AC3" w:rsidRPr="00582AC3" w:rsidRDefault="00582AC3" w:rsidP="001560B3">
      <w:pPr>
        <w:widowControl w:val="0"/>
        <w:suppressAutoHyphens/>
        <w:autoSpaceDE w:val="0"/>
        <w:autoSpaceDN w:val="0"/>
        <w:spacing w:after="0" w:line="240" w:lineRule="auto"/>
        <w:ind w:left="6521"/>
        <w:rPr>
          <w:rFonts w:ascii="Times New Roman" w:eastAsia="Times New Roman" w:hAnsi="Times New Roman" w:cs="Times New Roman"/>
          <w:bCs/>
          <w:color w:val="000000"/>
          <w:sz w:val="24"/>
          <w:szCs w:val="24"/>
          <w:lang w:eastAsia="ar-SA"/>
        </w:rPr>
      </w:pPr>
      <w:r w:rsidRPr="00582AC3">
        <w:rPr>
          <w:rFonts w:ascii="Times New Roman" w:eastAsia="Times New Roman" w:hAnsi="Times New Roman" w:cs="Times New Roman"/>
          <w:bCs/>
          <w:color w:val="000000"/>
          <w:sz w:val="24"/>
          <w:szCs w:val="24"/>
          <w:lang w:eastAsia="ar-SA"/>
        </w:rPr>
        <w:t>протокол № 46 від 25.10.2023</w:t>
      </w:r>
      <w:r w:rsidR="00BA3423">
        <w:rPr>
          <w:rFonts w:ascii="Times New Roman" w:eastAsia="Times New Roman" w:hAnsi="Times New Roman" w:cs="Times New Roman"/>
          <w:bCs/>
          <w:color w:val="000000"/>
          <w:sz w:val="24"/>
          <w:szCs w:val="24"/>
          <w:lang w:eastAsia="ar-SA"/>
        </w:rPr>
        <w:t xml:space="preserve"> </w:t>
      </w:r>
      <w:r w:rsidRPr="00582AC3">
        <w:rPr>
          <w:rFonts w:ascii="Times New Roman" w:eastAsia="Times New Roman" w:hAnsi="Times New Roman" w:cs="Times New Roman"/>
          <w:bCs/>
          <w:color w:val="000000"/>
          <w:sz w:val="24"/>
          <w:szCs w:val="24"/>
          <w:lang w:eastAsia="ar-SA"/>
        </w:rPr>
        <w:t>р</w:t>
      </w:r>
      <w:r w:rsidR="00BA3423">
        <w:rPr>
          <w:rFonts w:ascii="Times New Roman" w:eastAsia="Times New Roman" w:hAnsi="Times New Roman" w:cs="Times New Roman"/>
          <w:bCs/>
          <w:color w:val="000000"/>
          <w:sz w:val="24"/>
          <w:szCs w:val="24"/>
          <w:lang w:eastAsia="ar-SA"/>
        </w:rPr>
        <w:t>.</w:t>
      </w:r>
    </w:p>
    <w:p w:rsidR="00582AC3" w:rsidRPr="001560B3" w:rsidRDefault="00582AC3" w:rsidP="00B9524F">
      <w:pPr>
        <w:spacing w:after="0" w:line="240" w:lineRule="auto"/>
        <w:ind w:left="8647"/>
        <w:rPr>
          <w:rFonts w:ascii="Times New Roman" w:eastAsia="Times New Roman" w:hAnsi="Times New Roman" w:cs="Times New Roman"/>
          <w:bCs/>
          <w:color w:val="000000"/>
          <w:sz w:val="24"/>
          <w:szCs w:val="24"/>
          <w:lang w:eastAsia="ar-SA"/>
        </w:rPr>
      </w:pPr>
      <w:r w:rsidRPr="001560B3">
        <w:rPr>
          <w:rFonts w:ascii="Times New Roman" w:eastAsia="Times New Roman" w:hAnsi="Times New Roman" w:cs="Times New Roman"/>
          <w:bCs/>
          <w:color w:val="000000"/>
          <w:sz w:val="24"/>
          <w:szCs w:val="24"/>
          <w:lang w:eastAsia="ar-SA"/>
        </w:rPr>
        <w:t xml:space="preserve">                                                                           </w:t>
      </w:r>
    </w:p>
    <w:p w:rsidR="00AF7C1D" w:rsidRPr="00AF7C1D" w:rsidRDefault="00B9524F" w:rsidP="001560B3">
      <w:pPr>
        <w:tabs>
          <w:tab w:val="left" w:pos="6521"/>
          <w:tab w:val="right" w:pos="14995"/>
        </w:tabs>
        <w:spacing w:after="200" w:line="276" w:lineRule="auto"/>
        <w:rPr>
          <w:rFonts w:ascii="Times New Roman" w:eastAsia="Times New Roman" w:hAnsi="Times New Roman" w:cs="Times New Roman"/>
          <w:b/>
          <w:sz w:val="26"/>
          <w:szCs w:val="26"/>
        </w:rPr>
      </w:pPr>
      <w:r w:rsidRPr="001560B3">
        <w:rPr>
          <w:rFonts w:ascii="Times New Roman" w:eastAsia="Times New Roman" w:hAnsi="Times New Roman" w:cs="Times New Roman"/>
          <w:bCs/>
          <w:color w:val="000000"/>
          <w:sz w:val="24"/>
          <w:szCs w:val="24"/>
          <w:lang w:eastAsia="ar-SA"/>
        </w:rPr>
        <w:tab/>
      </w:r>
      <w:r w:rsidR="00582AC3" w:rsidRPr="001560B3">
        <w:rPr>
          <w:rFonts w:ascii="Times New Roman" w:eastAsia="Times New Roman" w:hAnsi="Times New Roman" w:cs="Times New Roman"/>
          <w:bCs/>
          <w:color w:val="000000"/>
          <w:sz w:val="24"/>
          <w:szCs w:val="24"/>
          <w:lang w:eastAsia="ar-SA"/>
        </w:rPr>
        <w:t>_______________ Галина ДОРОШ</w:t>
      </w:r>
    </w:p>
    <w:p w:rsidR="00AF7C1D" w:rsidRPr="00AF7C1D" w:rsidRDefault="00AF7C1D" w:rsidP="00AF7C1D">
      <w:pPr>
        <w:spacing w:after="200" w:line="276" w:lineRule="auto"/>
        <w:jc w:val="center"/>
        <w:rPr>
          <w:rFonts w:ascii="Times New Roman" w:eastAsia="Times New Roman" w:hAnsi="Times New Roman" w:cs="Times New Roman"/>
          <w:b/>
          <w:sz w:val="26"/>
          <w:szCs w:val="26"/>
        </w:rPr>
      </w:pPr>
      <w:r w:rsidRPr="00AF7C1D">
        <w:rPr>
          <w:rFonts w:ascii="Times New Roman" w:eastAsia="Times New Roman" w:hAnsi="Times New Roman" w:cs="Times New Roman"/>
          <w:b/>
          <w:sz w:val="26"/>
          <w:szCs w:val="26"/>
        </w:rPr>
        <w:t>Перелік змін,</w:t>
      </w:r>
      <w:bookmarkStart w:id="0" w:name="_GoBack"/>
      <w:bookmarkEnd w:id="0"/>
    </w:p>
    <w:p w:rsidR="00AF7C1D" w:rsidRPr="00AF7C1D" w:rsidRDefault="00AF7C1D" w:rsidP="00AF7C1D">
      <w:pPr>
        <w:spacing w:after="0" w:line="240" w:lineRule="auto"/>
        <w:jc w:val="center"/>
        <w:rPr>
          <w:rFonts w:ascii="Times New Roman" w:eastAsia="Times New Roman" w:hAnsi="Times New Roman" w:cs="Times New Roman"/>
          <w:b/>
          <w:sz w:val="24"/>
          <w:szCs w:val="24"/>
        </w:rPr>
      </w:pPr>
      <w:r w:rsidRPr="00AF7C1D">
        <w:rPr>
          <w:rFonts w:ascii="Times New Roman" w:eastAsia="Times New Roman" w:hAnsi="Times New Roman" w:cs="Times New Roman"/>
          <w:b/>
          <w:sz w:val="24"/>
          <w:szCs w:val="24"/>
        </w:rPr>
        <w:t>що вносяться Замовником до тендерної документації на закупівлю:</w:t>
      </w:r>
    </w:p>
    <w:p w:rsidR="00AF7C1D" w:rsidRPr="00AF7C1D" w:rsidRDefault="00AF7C1D" w:rsidP="00AF7C1D">
      <w:pPr>
        <w:spacing w:after="0" w:line="240" w:lineRule="auto"/>
        <w:jc w:val="center"/>
        <w:rPr>
          <w:rFonts w:ascii="Times New Roman" w:eastAsia="Times New Roman" w:hAnsi="Times New Roman" w:cs="Times New Roman"/>
          <w:b/>
          <w:sz w:val="24"/>
          <w:szCs w:val="24"/>
        </w:rPr>
      </w:pPr>
    </w:p>
    <w:p w:rsidR="00AF7C1D" w:rsidRPr="001560B3" w:rsidRDefault="00AF7C1D" w:rsidP="00AF7C1D">
      <w:pPr>
        <w:spacing w:after="0" w:line="240" w:lineRule="auto"/>
        <w:jc w:val="center"/>
        <w:rPr>
          <w:rFonts w:ascii="Times New Roman" w:eastAsia="Calibri" w:hAnsi="Times New Roman" w:cs="Times New Roman"/>
          <w:b/>
          <w:bCs/>
          <w:sz w:val="24"/>
          <w:szCs w:val="24"/>
        </w:rPr>
      </w:pPr>
      <w:r w:rsidRPr="001560B3">
        <w:rPr>
          <w:rFonts w:ascii="Times New Roman" w:eastAsia="Calibri" w:hAnsi="Times New Roman" w:cs="Times New Roman"/>
          <w:b/>
          <w:bCs/>
          <w:sz w:val="24"/>
          <w:szCs w:val="24"/>
        </w:rPr>
        <w:t>Послуги з поточного ремонту: (заміна вікон та дверей будівлі – 328 м.</w:t>
      </w:r>
      <w:r w:rsidR="00A360D1" w:rsidRPr="001560B3">
        <w:rPr>
          <w:rFonts w:ascii="Times New Roman" w:eastAsia="Calibri" w:hAnsi="Times New Roman" w:cs="Times New Roman"/>
          <w:b/>
          <w:bCs/>
          <w:sz w:val="24"/>
          <w:szCs w:val="24"/>
        </w:rPr>
        <w:t xml:space="preserve"> </w:t>
      </w:r>
      <w:r w:rsidRPr="001560B3">
        <w:rPr>
          <w:rFonts w:ascii="Times New Roman" w:eastAsia="Calibri" w:hAnsi="Times New Roman" w:cs="Times New Roman"/>
          <w:b/>
          <w:bCs/>
          <w:sz w:val="24"/>
          <w:szCs w:val="24"/>
        </w:rPr>
        <w:t>кв.)</w:t>
      </w:r>
    </w:p>
    <w:p w:rsidR="00AF7C1D" w:rsidRPr="00AF7C1D" w:rsidRDefault="00AF7C1D" w:rsidP="00AF7C1D">
      <w:pPr>
        <w:spacing w:after="0" w:line="240" w:lineRule="auto"/>
        <w:jc w:val="center"/>
        <w:rPr>
          <w:rFonts w:ascii="Times New Roman" w:eastAsia="Calibri" w:hAnsi="Times New Roman" w:cs="Times New Roman"/>
          <w:b/>
          <w:bCs/>
          <w:sz w:val="24"/>
          <w:szCs w:val="24"/>
        </w:rPr>
      </w:pPr>
      <w:r w:rsidRPr="001560B3">
        <w:rPr>
          <w:rFonts w:ascii="Times New Roman" w:eastAsia="Calibri" w:hAnsi="Times New Roman" w:cs="Times New Roman"/>
          <w:b/>
          <w:bCs/>
          <w:sz w:val="24"/>
          <w:szCs w:val="24"/>
        </w:rPr>
        <w:t>за кодом ДК 021:2015: 45220000-5 Інженерні та будівельні роботи</w:t>
      </w:r>
    </w:p>
    <w:p w:rsidR="00AF7C1D" w:rsidRPr="00AF7C1D" w:rsidRDefault="00AF7C1D" w:rsidP="00AF7C1D">
      <w:pPr>
        <w:spacing w:after="0" w:line="240" w:lineRule="auto"/>
        <w:jc w:val="center"/>
        <w:rPr>
          <w:rFonts w:ascii="Times New Roman" w:eastAsia="Times New Roman" w:hAnsi="Times New Roman" w:cs="Times New Roman"/>
          <w:b/>
          <w:sz w:val="24"/>
          <w:szCs w:val="24"/>
        </w:rPr>
      </w:pPr>
      <w:r w:rsidRPr="00AF7C1D">
        <w:rPr>
          <w:rFonts w:ascii="Times New Roman" w:eastAsia="Times New Roman" w:hAnsi="Times New Roman" w:cs="Times New Roman"/>
          <w:sz w:val="24"/>
          <w:szCs w:val="24"/>
        </w:rPr>
        <w:t>ідентифікатор закупівлі</w:t>
      </w:r>
      <w:r w:rsidRPr="00AF7C1D">
        <w:rPr>
          <w:rFonts w:ascii="Times New Roman" w:eastAsia="Times New Roman" w:hAnsi="Times New Roman" w:cs="Times New Roman"/>
          <w:b/>
          <w:sz w:val="24"/>
          <w:szCs w:val="24"/>
        </w:rPr>
        <w:t xml:space="preserve"> </w:t>
      </w:r>
      <w:r w:rsidRPr="001560B3">
        <w:rPr>
          <w:rFonts w:ascii="Times New Roman" w:eastAsia="Times New Roman" w:hAnsi="Times New Roman" w:cs="Times New Roman"/>
          <w:sz w:val="24"/>
          <w:szCs w:val="24"/>
          <w:shd w:val="clear" w:color="auto" w:fill="FFFFFF"/>
        </w:rPr>
        <w:t>UA-2023-10-19-010376-a</w:t>
      </w:r>
      <w:r w:rsidRPr="00AF7C1D">
        <w:rPr>
          <w:rFonts w:ascii="Times New Roman" w:eastAsia="Times New Roman" w:hAnsi="Times New Roman" w:cs="Times New Roman"/>
          <w:sz w:val="24"/>
          <w:szCs w:val="24"/>
        </w:rPr>
        <w:t xml:space="preserve"> на prozorro.gov.ua</w:t>
      </w:r>
    </w:p>
    <w:p w:rsidR="001560B3" w:rsidRPr="001560B3" w:rsidRDefault="001560B3">
      <w:pPr>
        <w:rPr>
          <w:rFonts w:ascii="Times New Roman" w:eastAsia="Times New Roman" w:hAnsi="Times New Roman" w:cs="Times New Roman"/>
          <w:sz w:val="24"/>
          <w:szCs w:val="24"/>
        </w:rPr>
      </w:pPr>
    </w:p>
    <w:p w:rsidR="00C83CD5" w:rsidRDefault="001560B3" w:rsidP="00036070">
      <w:pPr>
        <w:spacing w:after="0"/>
        <w:jc w:val="center"/>
        <w:rPr>
          <w:rFonts w:ascii="Times New Roman" w:eastAsia="Times New Roman" w:hAnsi="Times New Roman" w:cs="Times New Roman"/>
          <w:b/>
          <w:sz w:val="24"/>
          <w:szCs w:val="24"/>
        </w:rPr>
      </w:pPr>
      <w:r w:rsidRPr="001560B3">
        <w:rPr>
          <w:rFonts w:ascii="Times New Roman" w:eastAsia="Times New Roman" w:hAnsi="Times New Roman" w:cs="Times New Roman"/>
          <w:b/>
          <w:sz w:val="24"/>
          <w:szCs w:val="24"/>
        </w:rPr>
        <w:t xml:space="preserve">Зміни </w:t>
      </w:r>
      <w:r w:rsidR="00C83CD5">
        <w:rPr>
          <w:rFonts w:ascii="Times New Roman" w:eastAsia="Times New Roman" w:hAnsi="Times New Roman" w:cs="Times New Roman"/>
          <w:b/>
          <w:sz w:val="24"/>
          <w:szCs w:val="24"/>
        </w:rPr>
        <w:t xml:space="preserve">які вносяться до </w:t>
      </w:r>
      <w:r w:rsidR="00984BEE">
        <w:rPr>
          <w:rFonts w:ascii="Times New Roman" w:eastAsia="Times New Roman" w:hAnsi="Times New Roman" w:cs="Times New Roman"/>
          <w:b/>
          <w:sz w:val="24"/>
          <w:szCs w:val="24"/>
        </w:rPr>
        <w:t xml:space="preserve">п 4.1, </w:t>
      </w:r>
      <w:r w:rsidR="00C83CD5" w:rsidRPr="001560B3">
        <w:rPr>
          <w:rFonts w:ascii="Times New Roman" w:eastAsia="Times New Roman" w:hAnsi="Times New Roman" w:cs="Times New Roman"/>
          <w:b/>
          <w:sz w:val="24"/>
          <w:szCs w:val="24"/>
        </w:rPr>
        <w:t xml:space="preserve">п. 4.4, </w:t>
      </w:r>
      <w:r w:rsidR="00B0132D">
        <w:rPr>
          <w:rFonts w:ascii="Times New Roman" w:eastAsia="Times New Roman" w:hAnsi="Times New Roman" w:cs="Times New Roman"/>
          <w:b/>
          <w:sz w:val="24"/>
          <w:szCs w:val="24"/>
        </w:rPr>
        <w:t xml:space="preserve">п. 4.5, </w:t>
      </w:r>
      <w:r w:rsidR="00C83CD5" w:rsidRPr="001560B3">
        <w:rPr>
          <w:rFonts w:ascii="Times New Roman" w:eastAsia="Times New Roman" w:hAnsi="Times New Roman" w:cs="Times New Roman"/>
          <w:b/>
          <w:sz w:val="24"/>
          <w:szCs w:val="24"/>
        </w:rPr>
        <w:t xml:space="preserve">п. 4.6, </w:t>
      </w:r>
      <w:r w:rsidR="00C83CD5">
        <w:rPr>
          <w:rFonts w:ascii="Times New Roman" w:eastAsia="Times New Roman" w:hAnsi="Times New Roman" w:cs="Times New Roman"/>
          <w:b/>
          <w:sz w:val="24"/>
          <w:szCs w:val="24"/>
        </w:rPr>
        <w:t xml:space="preserve">п. </w:t>
      </w:r>
      <w:r w:rsidR="00C83CD5" w:rsidRPr="001560B3">
        <w:rPr>
          <w:rFonts w:ascii="Times New Roman" w:eastAsia="Times New Roman" w:hAnsi="Times New Roman" w:cs="Times New Roman"/>
          <w:b/>
          <w:sz w:val="24"/>
          <w:szCs w:val="24"/>
        </w:rPr>
        <w:t>4.7</w:t>
      </w:r>
    </w:p>
    <w:p w:rsidR="006D5086" w:rsidRPr="001560B3" w:rsidRDefault="001560B3" w:rsidP="00036070">
      <w:pPr>
        <w:spacing w:after="0"/>
        <w:jc w:val="center"/>
        <w:rPr>
          <w:rFonts w:ascii="Times New Roman" w:eastAsia="Times New Roman" w:hAnsi="Times New Roman" w:cs="Times New Roman"/>
          <w:b/>
          <w:sz w:val="24"/>
          <w:szCs w:val="24"/>
        </w:rPr>
      </w:pPr>
      <w:r w:rsidRPr="001560B3">
        <w:rPr>
          <w:rFonts w:ascii="Times New Roman" w:eastAsia="Times New Roman" w:hAnsi="Times New Roman" w:cs="Times New Roman"/>
          <w:b/>
          <w:sz w:val="24"/>
          <w:szCs w:val="24"/>
        </w:rPr>
        <w:t>Додатку 4 тендерної документації:</w:t>
      </w:r>
    </w:p>
    <w:tbl>
      <w:tblPr>
        <w:tblStyle w:val="a3"/>
        <w:tblW w:w="10201" w:type="dxa"/>
        <w:tblLook w:val="04A0" w:firstRow="1" w:lastRow="0" w:firstColumn="1" w:lastColumn="0" w:noHBand="0" w:noVBand="1"/>
      </w:tblPr>
      <w:tblGrid>
        <w:gridCol w:w="5100"/>
        <w:gridCol w:w="5101"/>
      </w:tblGrid>
      <w:tr w:rsidR="001560B3" w:rsidTr="00C83CD5">
        <w:tc>
          <w:tcPr>
            <w:tcW w:w="5100" w:type="dxa"/>
          </w:tcPr>
          <w:p w:rsidR="001560B3" w:rsidRDefault="001560B3" w:rsidP="001560B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Було</w:t>
            </w:r>
          </w:p>
        </w:tc>
        <w:tc>
          <w:tcPr>
            <w:tcW w:w="5101" w:type="dxa"/>
          </w:tcPr>
          <w:p w:rsidR="001560B3" w:rsidRDefault="001560B3" w:rsidP="001560B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Стало</w:t>
            </w:r>
          </w:p>
        </w:tc>
      </w:tr>
      <w:tr w:rsidR="001560B3" w:rsidTr="00C83CD5">
        <w:tc>
          <w:tcPr>
            <w:tcW w:w="5100" w:type="dxa"/>
          </w:tcPr>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4.1. Кількість товарів або обсяг виконання робіт чи надання послуг: 328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xml:space="preserve">. (148 виробів), з них: </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4.1.1 заміна вікон 280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(125 виробів):</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- 109 </w:t>
            </w:r>
            <w:proofErr w:type="spellStart"/>
            <w:r w:rsidRPr="00984BEE">
              <w:rPr>
                <w:rFonts w:ascii="Times New Roman" w:eastAsia="Times New Roman" w:hAnsi="Times New Roman" w:cs="Times New Roman"/>
                <w:sz w:val="24"/>
                <w:szCs w:val="24"/>
              </w:rPr>
              <w:t>метелопластикові</w:t>
            </w:r>
            <w:proofErr w:type="spellEnd"/>
            <w:r w:rsidRPr="00984BEE">
              <w:rPr>
                <w:rFonts w:ascii="Times New Roman" w:eastAsia="Times New Roman" w:hAnsi="Times New Roman" w:cs="Times New Roman"/>
                <w:sz w:val="24"/>
                <w:szCs w:val="24"/>
              </w:rPr>
              <w:t xml:space="preserve"> вікна арочної форми; </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- 16 звичайні </w:t>
            </w:r>
            <w:proofErr w:type="spellStart"/>
            <w:r w:rsidRPr="00984BEE">
              <w:rPr>
                <w:rFonts w:ascii="Times New Roman" w:eastAsia="Times New Roman" w:hAnsi="Times New Roman" w:cs="Times New Roman"/>
                <w:sz w:val="24"/>
                <w:szCs w:val="24"/>
              </w:rPr>
              <w:t>метелопластикові</w:t>
            </w:r>
            <w:proofErr w:type="spellEnd"/>
            <w:r w:rsidRPr="00984BEE">
              <w:rPr>
                <w:rFonts w:ascii="Times New Roman" w:eastAsia="Times New Roman" w:hAnsi="Times New Roman" w:cs="Times New Roman"/>
                <w:sz w:val="24"/>
                <w:szCs w:val="24"/>
              </w:rPr>
              <w:t xml:space="preserve"> вікна;</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p>
          <w:p w:rsid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4.1.2 заміна дверей 48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(23 вироби).</w:t>
            </w:r>
          </w:p>
          <w:p w:rsidR="00984BEE" w:rsidRDefault="00984BEE"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1560B3" w:rsidRDefault="001560B3" w:rsidP="001560B3">
            <w:pPr>
              <w:widowControl w:val="0"/>
              <w:tabs>
                <w:tab w:val="left" w:pos="284"/>
                <w:tab w:val="left" w:pos="426"/>
              </w:tab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4.4.</w:t>
            </w:r>
            <w:r w:rsidRPr="001560B3">
              <w:rPr>
                <w:rFonts w:ascii="Times New Roman" w:eastAsia="Times New Roman" w:hAnsi="Times New Roman" w:cs="Times New Roman"/>
                <w:sz w:val="24"/>
                <w:szCs w:val="24"/>
              </w:rPr>
              <w:tab/>
              <w:t>Суб'єкт поставки: Доставка товару</w:t>
            </w:r>
            <w:r w:rsidRPr="001560B3">
              <w:rPr>
                <w:rFonts w:ascii="Times New Roman" w:eastAsia="Times New Roman" w:hAnsi="Times New Roman" w:cs="Times New Roman"/>
                <w:sz w:val="24"/>
                <w:szCs w:val="24"/>
                <w:shd w:val="clear" w:color="auto" w:fill="FFFFFF"/>
              </w:rPr>
              <w:t xml:space="preserve"> повинна відбуватись транспортом та за рахунок «</w:t>
            </w:r>
            <w:r w:rsidRPr="001560B3">
              <w:rPr>
                <w:rFonts w:ascii="Times New Roman" w:eastAsia="Times New Roman" w:hAnsi="Times New Roman" w:cs="Times New Roman"/>
                <w:sz w:val="24"/>
                <w:szCs w:val="24"/>
              </w:rPr>
              <w:t xml:space="preserve">Постачальника» з усією необхідною супровідною документацією до Товару. «Постачальник» виконує демонтаж старих та монтаж нових вікон, проводить </w:t>
            </w:r>
            <w:r w:rsidRPr="001560B3">
              <w:rPr>
                <w:rFonts w:ascii="Times New Roman" w:eastAsia="Times New Roman" w:hAnsi="Times New Roman" w:cs="Times New Roman"/>
                <w:sz w:val="24"/>
                <w:szCs w:val="24"/>
                <w:shd w:val="clear" w:color="auto" w:fill="FFFFFF"/>
              </w:rPr>
              <w:t>улаштування укосів після встановлення нових віконних та дверних конструкцій</w:t>
            </w:r>
            <w:r w:rsidRPr="001560B3">
              <w:rPr>
                <w:rFonts w:ascii="Times New Roman" w:eastAsia="Times New Roman" w:hAnsi="Times New Roman" w:cs="Times New Roman"/>
                <w:sz w:val="24"/>
                <w:szCs w:val="24"/>
              </w:rPr>
              <w:t>, вивозить будівельне сміття після демонтажу.</w:t>
            </w:r>
          </w:p>
          <w:p w:rsidR="00F018BD" w:rsidRDefault="00F018BD"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F018BD" w:rsidRPr="00F018BD" w:rsidRDefault="00F018BD" w:rsidP="00F018BD">
            <w:pPr>
              <w:widowControl w:val="0"/>
              <w:tabs>
                <w:tab w:val="left" w:pos="284"/>
                <w:tab w:val="left" w:pos="426"/>
              </w:tabs>
              <w:autoSpaceDE w:val="0"/>
              <w:autoSpaceDN w:val="0"/>
              <w:rPr>
                <w:rFonts w:ascii="Times New Roman" w:eastAsia="Times New Roman" w:hAnsi="Times New Roman" w:cs="Times New Roman"/>
                <w:sz w:val="24"/>
                <w:szCs w:val="24"/>
              </w:rPr>
            </w:pPr>
            <w:r w:rsidRPr="00F018BD">
              <w:rPr>
                <w:rFonts w:ascii="Times New Roman" w:eastAsia="Times New Roman" w:hAnsi="Times New Roman" w:cs="Times New Roman"/>
                <w:sz w:val="24"/>
                <w:szCs w:val="24"/>
              </w:rPr>
              <w:t>4.5.</w:t>
            </w:r>
            <w:r w:rsidRPr="00F018BD">
              <w:rPr>
                <w:rFonts w:ascii="Times New Roman" w:eastAsia="Times New Roman" w:hAnsi="Times New Roman" w:cs="Times New Roman"/>
                <w:sz w:val="24"/>
                <w:szCs w:val="24"/>
              </w:rPr>
              <w:tab/>
              <w:t>Вимоги до віконних блоків:</w:t>
            </w:r>
          </w:p>
          <w:p w:rsidR="00F018BD" w:rsidRDefault="00F018BD" w:rsidP="00F018BD">
            <w:pPr>
              <w:widowControl w:val="0"/>
              <w:tabs>
                <w:tab w:val="left" w:pos="284"/>
                <w:tab w:val="left" w:pos="426"/>
              </w:tabs>
              <w:autoSpaceDE w:val="0"/>
              <w:autoSpaceDN w:val="0"/>
              <w:rPr>
                <w:rFonts w:ascii="Times New Roman" w:eastAsia="Times New Roman" w:hAnsi="Times New Roman" w:cs="Times New Roman"/>
                <w:sz w:val="24"/>
                <w:szCs w:val="24"/>
              </w:rPr>
            </w:pPr>
            <w:r w:rsidRPr="00F018BD">
              <w:rPr>
                <w:rFonts w:ascii="Times New Roman" w:eastAsia="Times New Roman" w:hAnsi="Times New Roman" w:cs="Times New Roman"/>
                <w:sz w:val="24"/>
                <w:szCs w:val="24"/>
              </w:rPr>
              <w:t>Мінімальне допустиме значення опору теплопередачі віконних конструкцій повинен складати не менш, ніж 0,90 м2 °С/Вт., дверних конструкцій 0,7 м2 °С/Вт згідно ДБН В.2.6- 31:2021 пункт 5.2 таблиця 1 «Теплова ізоляція будівель»;</w:t>
            </w:r>
          </w:p>
          <w:p w:rsidR="00C83CD5" w:rsidRPr="001560B3" w:rsidRDefault="00C83CD5"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1560B3" w:rsidRPr="001560B3" w:rsidRDefault="001560B3" w:rsidP="001560B3">
            <w:pPr>
              <w:widowControl w:val="0"/>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shd w:val="clear" w:color="auto" w:fill="FFFFFF"/>
              </w:rPr>
              <w:t>4.6.</w:t>
            </w:r>
            <w:r w:rsidRPr="001560B3">
              <w:rPr>
                <w:rFonts w:ascii="Times New Roman" w:eastAsia="Times New Roman" w:hAnsi="Times New Roman" w:cs="Times New Roman"/>
                <w:sz w:val="24"/>
                <w:szCs w:val="24"/>
              </w:rPr>
              <w:t>Учасник повинен надати у складі</w:t>
            </w:r>
            <w:r>
              <w:rPr>
                <w:rFonts w:ascii="Times New Roman" w:eastAsia="Times New Roman" w:hAnsi="Times New Roman" w:cs="Times New Roman"/>
                <w:sz w:val="24"/>
                <w:szCs w:val="24"/>
              </w:rPr>
              <w:t xml:space="preserve"> </w:t>
            </w:r>
            <w:r w:rsidRPr="001560B3">
              <w:rPr>
                <w:rFonts w:ascii="Times New Roman" w:eastAsia="Times New Roman" w:hAnsi="Times New Roman" w:cs="Times New Roman"/>
                <w:sz w:val="24"/>
                <w:szCs w:val="24"/>
              </w:rPr>
              <w:t>пропозиції:</w:t>
            </w:r>
          </w:p>
          <w:p w:rsidR="001560B3" w:rsidRPr="001560B3" w:rsidRDefault="001560B3"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сертифікат відповідності на пристрої поворотні, відкидні і поворотно-відкидні для віконних та балконних блоків на відповідність вимогам ДСТУ </w:t>
            </w:r>
            <w:r w:rsidRPr="001560B3">
              <w:rPr>
                <w:rFonts w:ascii="Times New Roman" w:eastAsia="Times New Roman" w:hAnsi="Times New Roman" w:cs="Times New Roman"/>
                <w:sz w:val="24"/>
                <w:szCs w:val="24"/>
              </w:rPr>
              <w:lastRenderedPageBreak/>
              <w:t xml:space="preserve">Б В.2.6-39:2008 п.5.3-5.6, </w:t>
            </w:r>
            <w:proofErr w:type="spellStart"/>
            <w:r w:rsidRPr="001560B3">
              <w:rPr>
                <w:rFonts w:ascii="Times New Roman" w:eastAsia="Times New Roman" w:hAnsi="Times New Roman" w:cs="Times New Roman"/>
                <w:sz w:val="24"/>
                <w:szCs w:val="24"/>
              </w:rPr>
              <w:t>п.п</w:t>
            </w:r>
            <w:proofErr w:type="spellEnd"/>
            <w:r w:rsidRPr="001560B3">
              <w:rPr>
                <w:rFonts w:ascii="Times New Roman" w:eastAsia="Times New Roman" w:hAnsi="Times New Roman" w:cs="Times New Roman"/>
                <w:sz w:val="24"/>
                <w:szCs w:val="24"/>
              </w:rPr>
              <w:t>. 5.2.3, 5.2.4</w:t>
            </w:r>
          </w:p>
          <w:p w:rsidR="001560B3" w:rsidRPr="001560B3" w:rsidRDefault="001560B3"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профілі ПВХ мають відповідати вимогам ДСТУ Б В.2.7-130:2007, на підтвердження у складі тендерної пропозиції надати сертифікат відповідності, протокол випробувань на відповідність, висновок Державної санітарно-епідеміологічної експертизи</w:t>
            </w:r>
          </w:p>
          <w:p w:rsidR="001560B3" w:rsidRPr="001560B3" w:rsidRDefault="001560B3"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сертифікат відповідності на фурнітуру для вікон та дверей з алюмінієвих та </w:t>
            </w:r>
            <w:proofErr w:type="spellStart"/>
            <w:r w:rsidRPr="001560B3">
              <w:rPr>
                <w:rFonts w:ascii="Times New Roman" w:eastAsia="Times New Roman" w:hAnsi="Times New Roman" w:cs="Times New Roman"/>
                <w:sz w:val="24"/>
                <w:szCs w:val="24"/>
              </w:rPr>
              <w:t>повінілхлоридних</w:t>
            </w:r>
            <w:proofErr w:type="spellEnd"/>
            <w:r w:rsidRPr="001560B3">
              <w:rPr>
                <w:rFonts w:ascii="Times New Roman" w:eastAsia="Times New Roman" w:hAnsi="Times New Roman" w:cs="Times New Roman"/>
                <w:sz w:val="24"/>
                <w:szCs w:val="24"/>
              </w:rPr>
              <w:t xml:space="preserve"> профілів на відповідність ДСТУ Б В.2.6 – 13:2006, ДСТУ Б В.2.6 – 28:2006, ДСТУ Б В.2.6 – 32:2007, ДСТУ Б В.2.6 – 39:2008</w:t>
            </w:r>
          </w:p>
          <w:p w:rsidR="001560B3" w:rsidRPr="001560B3" w:rsidRDefault="001560B3"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 сертифікат відповідності та протоколи сертифікаційних випробувань вікон та дверей,</w:t>
            </w:r>
            <w:r w:rsidRPr="001560B3">
              <w:rPr>
                <w:rFonts w:ascii="Times New Roman" w:eastAsia="Times New Roman" w:hAnsi="Times New Roman" w:cs="Times New Roman"/>
                <w:sz w:val="24"/>
                <w:szCs w:val="24"/>
                <w:lang w:eastAsia="zh-CN"/>
              </w:rPr>
              <w:t xml:space="preserve"> які оформлені на учасника, </w:t>
            </w:r>
            <w:r w:rsidRPr="001560B3">
              <w:rPr>
                <w:rFonts w:ascii="Times New Roman" w:eastAsia="Times New Roman" w:hAnsi="Times New Roman" w:cs="Times New Roman"/>
                <w:sz w:val="24"/>
                <w:szCs w:val="24"/>
              </w:rPr>
              <w:t>на відповідність вимогам ДСТУ EN 14351-1:2020 «Вікна та двері. Вимоги. Частина 1. Вікна та зовнішні двері (EN 14351-1:2006 + А2:2016, IDT)», п.4.5, 4.11, 4.12, 4.14, 4.16, 4.17, 4.21; ДБН В.2.6-31:2021 «Теплова ізоляція та енергоефективність будівель», п. 5.2, 5.10.</w:t>
            </w:r>
          </w:p>
          <w:p w:rsidR="001560B3" w:rsidRPr="00C83CD5" w:rsidRDefault="001560B3"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shd w:val="clear" w:color="auto" w:fill="FFFFFF"/>
              </w:rPr>
              <w:t xml:space="preserve">підпункт 5.2.2, пункти 5.3, 5.5, </w:t>
            </w:r>
            <w:proofErr w:type="spellStart"/>
            <w:r w:rsidRPr="001560B3">
              <w:rPr>
                <w:rFonts w:ascii="Times New Roman" w:eastAsia="Times New Roman" w:hAnsi="Times New Roman" w:cs="Times New Roman"/>
                <w:sz w:val="24"/>
                <w:szCs w:val="24"/>
                <w:shd w:val="clear" w:color="auto" w:fill="FFFFFF"/>
              </w:rPr>
              <w:t>підпукнт</w:t>
            </w:r>
            <w:proofErr w:type="spellEnd"/>
            <w:r w:rsidRPr="001560B3">
              <w:rPr>
                <w:rFonts w:ascii="Times New Roman" w:eastAsia="Times New Roman" w:hAnsi="Times New Roman" w:cs="Times New Roman"/>
                <w:sz w:val="24"/>
                <w:szCs w:val="24"/>
                <w:shd w:val="clear" w:color="auto" w:fill="FFFFFF"/>
              </w:rPr>
              <w:t xml:space="preserve"> 6.3.2 таблиця 2, підпункт 6.3.3 таблиця 3 ДСТУ EN 1279-1:2022; розділ 5 ДСТУ EN 1279-2:2022; пункт 5.3 ДСТУ EN 1279-4:2022, підпункти 4.2.2.12, 4.2.2.13 ДСТУ EN 1279-5:2019; дод.А3 розділ 3 (пункти 1.1 -1.4, таблиця А.4 розділ 3 (пос.1), таблиця А.12 розділ 3 (пункт 3) ДСТУ EN 1279-6:2022; пункт 5.2 таблиця 1 ДБН В.2.6-31:2021</w:t>
            </w:r>
          </w:p>
          <w:p w:rsidR="00C83CD5" w:rsidRPr="001560B3" w:rsidRDefault="00C83CD5" w:rsidP="001560B3">
            <w:pPr>
              <w:widowControl w:val="0"/>
              <w:numPr>
                <w:ilvl w:val="0"/>
                <w:numId w:val="3"/>
              </w:numPr>
              <w:tabs>
                <w:tab w:val="left" w:pos="3780"/>
              </w:tabs>
              <w:autoSpaceDE w:val="0"/>
              <w:autoSpaceDN w:val="0"/>
              <w:contextualSpacing/>
              <w:rPr>
                <w:rFonts w:ascii="Times New Roman" w:eastAsia="Times New Roman" w:hAnsi="Times New Roman" w:cs="Times New Roman"/>
                <w:sz w:val="24"/>
                <w:szCs w:val="24"/>
              </w:rPr>
            </w:pPr>
          </w:p>
          <w:p w:rsidR="001560B3" w:rsidRPr="001560B3" w:rsidRDefault="00C83CD5" w:rsidP="00C83CD5">
            <w:pPr>
              <w:widowControl w:val="0"/>
              <w:tabs>
                <w:tab w:val="left" w:pos="3780"/>
              </w:tabs>
              <w:autoSpaceDE w:val="0"/>
              <w:autoSpaceDN w:val="0"/>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shd w:val="clear" w:color="auto" w:fill="FFFFFF"/>
              </w:rPr>
              <w:t xml:space="preserve">4.7. </w:t>
            </w:r>
            <w:r w:rsidR="001560B3" w:rsidRPr="001560B3">
              <w:rPr>
                <w:rFonts w:ascii="Times New Roman" w:eastAsia="Times New Roman" w:hAnsi="Times New Roman" w:cs="Times New Roman"/>
                <w:bCs/>
                <w:sz w:val="24"/>
                <w:szCs w:val="24"/>
                <w:shd w:val="clear" w:color="auto" w:fill="FFFFFF"/>
              </w:rPr>
              <w:t>Вимоги до конструкції із металопластику:</w:t>
            </w:r>
          </w:p>
          <w:p w:rsidR="001560B3" w:rsidRPr="001560B3" w:rsidRDefault="001560B3" w:rsidP="001560B3">
            <w:pPr>
              <w:shd w:val="clear" w:color="auto" w:fill="FFFFFF"/>
              <w:rPr>
                <w:rFonts w:ascii="Times New Roman" w:eastAsia="Calibri" w:hAnsi="Times New Roman" w:cs="Times New Roman"/>
                <w:sz w:val="24"/>
                <w:szCs w:val="24"/>
                <w:shd w:val="clear" w:color="auto" w:fill="FFFFFF"/>
              </w:rPr>
            </w:pPr>
            <w:r w:rsidRPr="001560B3">
              <w:rPr>
                <w:rFonts w:ascii="Times New Roman" w:eastAsia="Calibri" w:hAnsi="Times New Roman" w:cs="Times New Roman"/>
                <w:sz w:val="24"/>
                <w:szCs w:val="24"/>
                <w:shd w:val="clear" w:color="auto" w:fill="FFFFFF"/>
              </w:rPr>
              <w:t>Для віконних конструкцій, що будуть встановлюватися, висуваються наступні вимоги:</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r w:rsidRPr="001560B3">
              <w:rPr>
                <w:rFonts w:ascii="Times New Roman" w:eastAsia="Times New Roman" w:hAnsi="Times New Roman" w:cs="Times New Roman"/>
                <w:sz w:val="24"/>
                <w:szCs w:val="24"/>
                <w:shd w:val="clear" w:color="auto" w:fill="FFFFFF"/>
              </w:rPr>
              <w:t>-</w:t>
            </w:r>
            <w:r w:rsidRPr="001560B3">
              <w:rPr>
                <w:rFonts w:ascii="Times New Roman" w:eastAsia="Times New Roman" w:hAnsi="Times New Roman" w:cs="Times New Roman"/>
                <w:sz w:val="24"/>
                <w:szCs w:val="24"/>
                <w:lang w:eastAsia="uk-UA"/>
              </w:rPr>
              <w:t xml:space="preserve"> сертифікати відповідності та протокол випробувань на профіль ПВХ;</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r w:rsidRPr="001560B3">
              <w:rPr>
                <w:rFonts w:ascii="Times New Roman" w:eastAsia="Times New Roman" w:hAnsi="Times New Roman" w:cs="Times New Roman"/>
                <w:sz w:val="24"/>
                <w:szCs w:val="24"/>
                <w:lang w:eastAsia="uk-UA"/>
              </w:rPr>
              <w:t>- сертифікат відповідності та протокол випробувань на склопакети;</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r w:rsidRPr="001560B3">
              <w:rPr>
                <w:rFonts w:ascii="Times New Roman" w:eastAsia="Times New Roman" w:hAnsi="Times New Roman" w:cs="Times New Roman"/>
                <w:sz w:val="24"/>
                <w:szCs w:val="24"/>
                <w:lang w:eastAsia="uk-UA"/>
              </w:rPr>
              <w:t>- сертифікат відповідності на фурнітуру;</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r w:rsidRPr="001560B3">
              <w:rPr>
                <w:rFonts w:ascii="Times New Roman" w:eastAsia="Times New Roman" w:hAnsi="Times New Roman" w:cs="Times New Roman"/>
                <w:sz w:val="24"/>
                <w:szCs w:val="24"/>
                <w:lang w:eastAsia="uk-UA"/>
              </w:rPr>
              <w:t>- сертифікат відповідності на виріб;</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r w:rsidRPr="001560B3">
              <w:rPr>
                <w:rFonts w:ascii="Times New Roman" w:eastAsia="Times New Roman" w:hAnsi="Times New Roman" w:cs="Times New Roman"/>
                <w:sz w:val="24"/>
                <w:szCs w:val="24"/>
                <w:lang w:eastAsia="uk-UA"/>
              </w:rPr>
              <w:t>- протокол випробування конструкції із склопакетом – 4LowE-14Ar-4-14Ar-4LowE;</w:t>
            </w:r>
          </w:p>
          <w:p w:rsidR="001560B3" w:rsidRPr="001560B3" w:rsidRDefault="001560B3" w:rsidP="001560B3">
            <w:pPr>
              <w:widowControl w:val="0"/>
              <w:autoSpaceDE w:val="0"/>
              <w:autoSpaceDN w:val="0"/>
              <w:spacing w:line="253" w:lineRule="exact"/>
              <w:ind w:firstLine="737"/>
              <w:rPr>
                <w:rFonts w:ascii="Times New Roman" w:eastAsia="Times New Roman" w:hAnsi="Times New Roman" w:cs="Times New Roman"/>
                <w:sz w:val="24"/>
                <w:szCs w:val="24"/>
                <w:lang w:eastAsia="uk-UA"/>
              </w:rPr>
            </w:pPr>
          </w:p>
          <w:p w:rsidR="001560B3" w:rsidRPr="00C83CD5" w:rsidRDefault="001560B3" w:rsidP="001560B3">
            <w:pPr>
              <w:shd w:val="clear" w:color="auto" w:fill="FFFFFF"/>
              <w:ind w:firstLine="720"/>
              <w:rPr>
                <w:rFonts w:ascii="Times New Roman" w:eastAsia="Calibri" w:hAnsi="Times New Roman" w:cs="Times New Roman"/>
                <w:sz w:val="24"/>
                <w:szCs w:val="24"/>
                <w:shd w:val="clear" w:color="auto" w:fill="FFFFFF"/>
              </w:rPr>
            </w:pPr>
            <w:r w:rsidRPr="00C83CD5">
              <w:rPr>
                <w:rFonts w:ascii="Times New Roman" w:eastAsia="Calibri" w:hAnsi="Times New Roman" w:cs="Times New Roman"/>
                <w:sz w:val="24"/>
                <w:szCs w:val="24"/>
                <w:shd w:val="clear" w:color="auto" w:fill="FFFFFF"/>
              </w:rPr>
              <w:t>Всі автотранспортні, експедиційні, поштові, демонтаж старих, монтаж нових ПВХ конструкцій, улаштування укосів після встановлення нових віконних та дверних конструкцій,  інші витрати за рахунок Постачальника.</w:t>
            </w:r>
          </w:p>
          <w:p w:rsidR="001560B3" w:rsidRPr="001560B3" w:rsidRDefault="001560B3" w:rsidP="001560B3">
            <w:pPr>
              <w:shd w:val="clear" w:color="auto" w:fill="FFFFFF"/>
              <w:ind w:firstLine="709"/>
              <w:rPr>
                <w:rFonts w:ascii="Times New Roman" w:eastAsia="Calibri" w:hAnsi="Times New Roman" w:cs="Times New Roman"/>
                <w:sz w:val="24"/>
                <w:szCs w:val="24"/>
                <w:shd w:val="clear" w:color="auto" w:fill="FFFFFF"/>
              </w:rPr>
            </w:pPr>
            <w:r w:rsidRPr="001560B3">
              <w:rPr>
                <w:rFonts w:ascii="Times New Roman" w:eastAsia="Calibri" w:hAnsi="Times New Roman" w:cs="Times New Roman"/>
                <w:sz w:val="24"/>
                <w:szCs w:val="24"/>
                <w:shd w:val="clear" w:color="auto" w:fill="FFFFFF"/>
              </w:rPr>
              <w:lastRenderedPageBreak/>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rsidR="001560B3" w:rsidRPr="001560B3" w:rsidRDefault="001560B3" w:rsidP="001560B3">
            <w:pPr>
              <w:ind w:firstLine="709"/>
              <w:rPr>
                <w:rFonts w:ascii="Times New Roman" w:eastAsia="Calibri" w:hAnsi="Times New Roman" w:cs="Times New Roman"/>
                <w:b/>
                <w:bCs/>
                <w:sz w:val="24"/>
                <w:szCs w:val="24"/>
                <w:shd w:val="clear" w:color="auto" w:fill="FFFFFF"/>
              </w:rPr>
            </w:pPr>
            <w:r w:rsidRPr="001560B3">
              <w:rPr>
                <w:rFonts w:ascii="Times New Roman" w:eastAsia="Calibri" w:hAnsi="Times New Roman" w:cs="Times New Roman"/>
                <w:b/>
                <w:bCs/>
                <w:sz w:val="24"/>
                <w:szCs w:val="24"/>
                <w:shd w:val="clear" w:color="auto" w:fill="FFFFFF"/>
              </w:rPr>
              <w:t>Увага! Перед початком виготовлення постачальник обов'язково має прибути на об’єкт для уточнення замовлення та замірів віконних та дверних блоків.</w:t>
            </w:r>
          </w:p>
          <w:p w:rsidR="001560B3" w:rsidRPr="001560B3" w:rsidRDefault="001560B3" w:rsidP="001560B3">
            <w:pPr>
              <w:widowControl w:val="0"/>
              <w:autoSpaceDE w:val="0"/>
              <w:autoSpaceDN w:val="0"/>
              <w:rPr>
                <w:rFonts w:ascii="Times New Roman" w:eastAsia="Times New Roman" w:hAnsi="Times New Roman" w:cs="Times New Roman"/>
                <w:b/>
                <w:sz w:val="24"/>
                <w:szCs w:val="24"/>
                <w:u w:val="single"/>
              </w:rPr>
            </w:pPr>
          </w:p>
          <w:p w:rsidR="001560B3" w:rsidRPr="001560B3" w:rsidRDefault="001560B3" w:rsidP="001560B3">
            <w:pPr>
              <w:widowControl w:val="0"/>
              <w:autoSpaceDE w:val="0"/>
              <w:autoSpaceDN w:val="0"/>
              <w:rPr>
                <w:rFonts w:ascii="Times New Roman" w:eastAsia="Times New Roman" w:hAnsi="Times New Roman" w:cs="Times New Roman"/>
                <w:b/>
                <w:sz w:val="24"/>
                <w:szCs w:val="24"/>
                <w:u w:val="single"/>
              </w:rPr>
            </w:pPr>
            <w:r w:rsidRPr="001560B3">
              <w:rPr>
                <w:rFonts w:ascii="Times New Roman" w:eastAsia="Times New Roman" w:hAnsi="Times New Roman" w:cs="Times New Roman"/>
                <w:b/>
                <w:sz w:val="24"/>
                <w:szCs w:val="24"/>
                <w:u w:val="single"/>
              </w:rPr>
              <w:t xml:space="preserve">Примітка:  </w:t>
            </w:r>
          </w:p>
          <w:p w:rsidR="001560B3" w:rsidRPr="001560B3" w:rsidRDefault="001560B3" w:rsidP="00156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ind w:firstLine="709"/>
              <w:rPr>
                <w:rFonts w:ascii="Times New Roman" w:eastAsia="Times New Roman" w:hAnsi="Times New Roman" w:cs="Times New Roman CYR"/>
                <w:sz w:val="24"/>
                <w:szCs w:val="24"/>
              </w:rPr>
            </w:pPr>
            <w:r w:rsidRPr="001560B3">
              <w:rPr>
                <w:rFonts w:ascii="Times New Roman" w:eastAsia="Times New Roman" w:hAnsi="Times New Roman" w:cs="Times New Roman"/>
                <w:bCs/>
                <w:sz w:val="24"/>
                <w:szCs w:val="24"/>
              </w:rPr>
              <w:t xml:space="preserve">До пропозиції надається розрахунок вартості </w:t>
            </w:r>
            <w:r w:rsidRPr="001560B3">
              <w:rPr>
                <w:rFonts w:ascii="Times New Roman" w:eastAsia="Times New Roman" w:hAnsi="Times New Roman" w:cs="Times New Roman CYR"/>
                <w:sz w:val="24"/>
                <w:szCs w:val="24"/>
              </w:rPr>
              <w:t>у програмному комплексі АВК (</w:t>
            </w:r>
            <w:r w:rsidRPr="001560B3">
              <w:rPr>
                <w:rFonts w:ascii="Times New Roman" w:eastAsia="Times New Roman" w:hAnsi="Times New Roman" w:cs="Times New Roman"/>
                <w:sz w:val="24"/>
                <w:szCs w:val="24"/>
              </w:rPr>
              <w:t xml:space="preserve">або в інших програмних комплексах, з яких можливо кошторис перенести </w:t>
            </w:r>
            <w:r w:rsidRPr="001560B3">
              <w:rPr>
                <w:rFonts w:ascii="Times New Roman" w:eastAsia="Times New Roman" w:hAnsi="Times New Roman" w:cs="Times New Roman CYR"/>
                <w:sz w:val="24"/>
                <w:szCs w:val="24"/>
              </w:rPr>
              <w:t>у програмний комплекс АВК</w:t>
            </w:r>
            <w:r w:rsidRPr="001560B3">
              <w:rPr>
                <w:rFonts w:ascii="Times New Roman" w:eastAsia="Times New Roman" w:hAnsi="Times New Roman" w:cs="Times New Roman"/>
                <w:sz w:val="24"/>
                <w:szCs w:val="24"/>
              </w:rPr>
              <w:t xml:space="preserve">) </w:t>
            </w:r>
            <w:r w:rsidRPr="001560B3">
              <w:rPr>
                <w:rFonts w:ascii="Times New Roman" w:eastAsia="Times New Roman" w:hAnsi="Times New Roman" w:cs="Times New Roman"/>
                <w:bCs/>
                <w:sz w:val="24"/>
                <w:szCs w:val="24"/>
              </w:rPr>
              <w:t xml:space="preserve">Розрахунок вартості повинен бути </w:t>
            </w:r>
            <w:r w:rsidRPr="001560B3">
              <w:rPr>
                <w:rFonts w:ascii="Times New Roman" w:eastAsia="Times New Roman" w:hAnsi="Times New Roman" w:cs="Times New Roman"/>
                <w:sz w:val="24"/>
                <w:szCs w:val="24"/>
              </w:rPr>
              <w:t xml:space="preserve">розроблений </w:t>
            </w:r>
            <w:r w:rsidRPr="001560B3">
              <w:rPr>
                <w:rFonts w:ascii="Times New Roman" w:eastAsia="Times New Roman" w:hAnsi="Times New Roman" w:cs="Times New Roman CYR"/>
                <w:sz w:val="24"/>
                <w:szCs w:val="24"/>
              </w:rPr>
              <w:t>на підставі державних і галузевих нормативів (</w:t>
            </w:r>
            <w:r w:rsidRPr="001560B3">
              <w:rPr>
                <w:rFonts w:ascii="Times New Roman" w:eastAsia="Times New Roman" w:hAnsi="Times New Roman" w:cs="Times New Roman"/>
                <w:sz w:val="24"/>
                <w:szCs w:val="24"/>
              </w:rPr>
              <w:t xml:space="preserve">ДСТУ) </w:t>
            </w:r>
            <w:r w:rsidRPr="001560B3">
              <w:rPr>
                <w:rFonts w:ascii="Times New Roman" w:eastAsia="Times New Roman" w:hAnsi="Times New Roman" w:cs="Times New Roman CYR"/>
                <w:sz w:val="24"/>
                <w:szCs w:val="24"/>
              </w:rPr>
              <w:t>з урахування всіх витрат.</w:t>
            </w:r>
          </w:p>
          <w:p w:rsidR="001560B3" w:rsidRPr="001560B3" w:rsidRDefault="001560B3" w:rsidP="001560B3">
            <w:pPr>
              <w:widowControl w:val="0"/>
              <w:autoSpaceDE w:val="0"/>
              <w:autoSpaceDN w:val="0"/>
              <w:ind w:firstLine="709"/>
              <w:rPr>
                <w:rFonts w:ascii="Times New Roman" w:eastAsia="Times New Roman" w:hAnsi="Times New Roman" w:cs="Times New Roman"/>
                <w:bCs/>
                <w:iCs/>
                <w:sz w:val="24"/>
                <w:szCs w:val="24"/>
              </w:rPr>
            </w:pPr>
          </w:p>
          <w:p w:rsidR="001560B3" w:rsidRPr="001560B3" w:rsidRDefault="001560B3" w:rsidP="001560B3">
            <w:pPr>
              <w:widowControl w:val="0"/>
              <w:autoSpaceDE w:val="0"/>
              <w:autoSpaceDN w:val="0"/>
              <w:ind w:firstLine="709"/>
              <w:rPr>
                <w:rFonts w:ascii="Times New Roman" w:eastAsia="Times New Roman" w:hAnsi="Times New Roman" w:cs="Times New Roman"/>
                <w:sz w:val="24"/>
                <w:szCs w:val="24"/>
              </w:rPr>
            </w:pPr>
            <w:r w:rsidRPr="001560B3">
              <w:rPr>
                <w:rFonts w:ascii="Times New Roman" w:eastAsia="Times New Roman" w:hAnsi="Times New Roman" w:cs="Times New Roman"/>
                <w:bCs/>
                <w:iCs/>
                <w:sz w:val="24"/>
                <w:szCs w:val="24"/>
              </w:rPr>
              <w:t>До договірної ціни</w:t>
            </w:r>
            <w:r w:rsidRPr="001560B3">
              <w:rPr>
                <w:rFonts w:ascii="Times New Roman" w:eastAsia="Times New Roman" w:hAnsi="Times New Roman" w:cs="Times New Roman"/>
                <w:sz w:val="24"/>
                <w:szCs w:val="24"/>
              </w:rPr>
              <w:t xml:space="preserve"> надаються усі розрахунки, які є її складовими:</w:t>
            </w:r>
          </w:p>
          <w:p w:rsidR="001560B3" w:rsidRPr="001560B3" w:rsidRDefault="001560B3" w:rsidP="001560B3">
            <w:pPr>
              <w:widowControl w:val="0"/>
              <w:autoSpaceDE w:val="0"/>
              <w:autoSpaceDN w:val="0"/>
              <w:ind w:firstLine="709"/>
              <w:rPr>
                <w:rFonts w:ascii="Times New Roman" w:eastAsia="Times New Roman" w:hAnsi="Times New Roman" w:cs="Times New Roman"/>
                <w:sz w:val="24"/>
                <w:szCs w:val="24"/>
              </w:rPr>
            </w:pPr>
          </w:p>
          <w:p w:rsidR="001560B3" w:rsidRPr="001560B3" w:rsidRDefault="001560B3" w:rsidP="001560B3">
            <w:pPr>
              <w:widowControl w:val="0"/>
              <w:numPr>
                <w:ilvl w:val="0"/>
                <w:numId w:val="1"/>
              </w:numPr>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Пояснювальна записка </w:t>
            </w:r>
          </w:p>
          <w:p w:rsidR="001560B3" w:rsidRPr="001560B3" w:rsidRDefault="001560B3" w:rsidP="001560B3">
            <w:pPr>
              <w:widowControl w:val="0"/>
              <w:numPr>
                <w:ilvl w:val="0"/>
                <w:numId w:val="1"/>
              </w:numPr>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Дефектний акт</w:t>
            </w:r>
          </w:p>
          <w:p w:rsidR="001560B3" w:rsidRPr="001560B3" w:rsidRDefault="001560B3" w:rsidP="001560B3">
            <w:pPr>
              <w:widowControl w:val="0"/>
              <w:numPr>
                <w:ilvl w:val="0"/>
                <w:numId w:val="1"/>
              </w:numPr>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Локальний кошторис  </w:t>
            </w:r>
          </w:p>
          <w:p w:rsidR="001560B3" w:rsidRPr="001560B3" w:rsidRDefault="001560B3" w:rsidP="001560B3">
            <w:pPr>
              <w:widowControl w:val="0"/>
              <w:numPr>
                <w:ilvl w:val="0"/>
                <w:numId w:val="1"/>
              </w:numPr>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Відомість ресурсів </w:t>
            </w:r>
          </w:p>
          <w:p w:rsidR="001560B3" w:rsidRPr="001560B3" w:rsidRDefault="001560B3" w:rsidP="001560B3">
            <w:pPr>
              <w:widowControl w:val="0"/>
              <w:numPr>
                <w:ilvl w:val="0"/>
                <w:numId w:val="1"/>
              </w:numPr>
              <w:tabs>
                <w:tab w:val="left" w:pos="72"/>
              </w:tabs>
              <w:suppressAutoHyphens/>
              <w:autoSpaceDE w:val="0"/>
              <w:autoSpaceDN w:val="0"/>
              <w:ind w:left="72" w:firstLine="90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Розрахунок загальновиробничих витрат</w:t>
            </w:r>
          </w:p>
          <w:p w:rsidR="001560B3" w:rsidRPr="001560B3" w:rsidRDefault="001560B3" w:rsidP="001560B3">
            <w:pPr>
              <w:widowControl w:val="0"/>
              <w:tabs>
                <w:tab w:val="left" w:pos="72"/>
              </w:tabs>
              <w:suppressAutoHyphens/>
              <w:autoSpaceDE w:val="0"/>
              <w:autoSpaceDN w:val="0"/>
              <w:ind w:left="972" w:hanging="972"/>
              <w:rPr>
                <w:rFonts w:ascii="Times New Roman" w:eastAsia="Times New Roman" w:hAnsi="Times New Roman" w:cs="Times New Roman"/>
                <w:sz w:val="24"/>
                <w:szCs w:val="24"/>
              </w:rPr>
            </w:pPr>
          </w:p>
          <w:p w:rsidR="001560B3" w:rsidRPr="001560B3" w:rsidRDefault="001560B3" w:rsidP="001560B3">
            <w:pPr>
              <w:widowControl w:val="0"/>
              <w:tabs>
                <w:tab w:val="left" w:pos="72"/>
              </w:tabs>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ab/>
            </w:r>
            <w:r w:rsidRPr="001560B3">
              <w:rPr>
                <w:rFonts w:ascii="Times New Roman" w:eastAsia="Times New Roman" w:hAnsi="Times New Roman" w:cs="Times New Roman"/>
                <w:sz w:val="24"/>
                <w:szCs w:val="24"/>
              </w:rPr>
              <w:tab/>
              <w:t>При підписанні актів наданих послуг підрядник повинен надати копії сертифікатів якості та копії накладних (або чеків) на основні матеріали які будуть використані при виконанні послуги для підтвердження їх якості та вартості.</w:t>
            </w:r>
          </w:p>
          <w:p w:rsidR="001560B3" w:rsidRPr="001560B3" w:rsidRDefault="001560B3" w:rsidP="001560B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rPr>
                <w:rFonts w:ascii="Times New Roman" w:eastAsia="Times New Roman" w:hAnsi="Times New Roman" w:cs="Times New Roman"/>
                <w:color w:val="FF0000"/>
                <w:sz w:val="24"/>
                <w:szCs w:val="24"/>
              </w:rPr>
            </w:pPr>
            <w:r w:rsidRPr="001560B3">
              <w:rPr>
                <w:rFonts w:ascii="Times New Roman" w:eastAsia="Times New Roman" w:hAnsi="Times New Roman" w:cs="Times New Roman"/>
                <w:sz w:val="24"/>
                <w:szCs w:val="24"/>
              </w:rPr>
              <w:tab/>
            </w:r>
          </w:p>
          <w:p w:rsidR="001560B3" w:rsidRPr="001560B3" w:rsidRDefault="001560B3" w:rsidP="001560B3">
            <w:pPr>
              <w:widowControl w:val="0"/>
              <w:autoSpaceDE w:val="0"/>
              <w:autoSpaceDN w:val="0"/>
              <w:spacing w:before="1"/>
              <w:rPr>
                <w:rFonts w:ascii="Times New Roman" w:eastAsia="Times New Roman" w:hAnsi="Times New Roman" w:cs="Times New Roman"/>
                <w:spacing w:val="-135"/>
                <w:sz w:val="24"/>
                <w:szCs w:val="24"/>
              </w:rPr>
            </w:pPr>
            <w:r w:rsidRPr="001560B3">
              <w:rPr>
                <w:rFonts w:ascii="Times New Roman" w:eastAsia="Times New Roman" w:hAnsi="Times New Roman" w:cs="Times New Roman"/>
                <w:sz w:val="24"/>
                <w:szCs w:val="24"/>
              </w:rPr>
              <w:tab/>
              <w:t>З метою підтвердження можливості вчасного та належного надання послуг учасники у складі своєї пропозиції мають надати інформаційну довідку, складену в довільній формі, щодо фінансової спроможності учасника стосовно закупівлі необхідних товарів та матеріалів для надання послуг за предметом закупівлі.</w:t>
            </w:r>
          </w:p>
        </w:tc>
        <w:tc>
          <w:tcPr>
            <w:tcW w:w="5101" w:type="dxa"/>
          </w:tcPr>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lastRenderedPageBreak/>
              <w:t xml:space="preserve">4.1. Кількість товарів або обсяг виконання робіт чи надання послуг: 328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xml:space="preserve">. (148 виробів), з них: </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4.1.1 заміна вікон </w:t>
            </w:r>
            <w:r>
              <w:rPr>
                <w:rFonts w:ascii="Times New Roman" w:eastAsia="Times New Roman" w:hAnsi="Times New Roman" w:cs="Times New Roman"/>
                <w:sz w:val="24"/>
                <w:szCs w:val="24"/>
              </w:rPr>
              <w:t>284,548</w:t>
            </w:r>
            <w:r w:rsidRPr="00984BEE">
              <w:rPr>
                <w:rFonts w:ascii="Times New Roman" w:eastAsia="Times New Roman" w:hAnsi="Times New Roman" w:cs="Times New Roman"/>
                <w:sz w:val="24"/>
                <w:szCs w:val="24"/>
              </w:rPr>
              <w:t xml:space="preserve">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(125 виробів):</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- 109 </w:t>
            </w:r>
            <w:proofErr w:type="spellStart"/>
            <w:r w:rsidRPr="00984BEE">
              <w:rPr>
                <w:rFonts w:ascii="Times New Roman" w:eastAsia="Times New Roman" w:hAnsi="Times New Roman" w:cs="Times New Roman"/>
                <w:sz w:val="24"/>
                <w:szCs w:val="24"/>
              </w:rPr>
              <w:t>метелопластикові</w:t>
            </w:r>
            <w:proofErr w:type="spellEnd"/>
            <w:r w:rsidRPr="00984BEE">
              <w:rPr>
                <w:rFonts w:ascii="Times New Roman" w:eastAsia="Times New Roman" w:hAnsi="Times New Roman" w:cs="Times New Roman"/>
                <w:sz w:val="24"/>
                <w:szCs w:val="24"/>
              </w:rPr>
              <w:t xml:space="preserve"> вікна арочної форми; </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- 16 звичайні </w:t>
            </w:r>
            <w:proofErr w:type="spellStart"/>
            <w:r w:rsidRPr="00984BEE">
              <w:rPr>
                <w:rFonts w:ascii="Times New Roman" w:eastAsia="Times New Roman" w:hAnsi="Times New Roman" w:cs="Times New Roman"/>
                <w:sz w:val="24"/>
                <w:szCs w:val="24"/>
              </w:rPr>
              <w:t>метелопластикові</w:t>
            </w:r>
            <w:proofErr w:type="spellEnd"/>
            <w:r w:rsidRPr="00984BEE">
              <w:rPr>
                <w:rFonts w:ascii="Times New Roman" w:eastAsia="Times New Roman" w:hAnsi="Times New Roman" w:cs="Times New Roman"/>
                <w:sz w:val="24"/>
                <w:szCs w:val="24"/>
              </w:rPr>
              <w:t xml:space="preserve"> вікна;</w:t>
            </w:r>
          </w:p>
          <w:p w:rsidR="00984BEE" w:rsidRP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p>
          <w:p w:rsidR="00984BEE" w:rsidRDefault="00984BEE" w:rsidP="00984BEE">
            <w:pPr>
              <w:widowControl w:val="0"/>
              <w:tabs>
                <w:tab w:val="left" w:pos="284"/>
                <w:tab w:val="left" w:pos="426"/>
              </w:tabs>
              <w:autoSpaceDE w:val="0"/>
              <w:autoSpaceDN w:val="0"/>
              <w:rPr>
                <w:rFonts w:ascii="Times New Roman" w:eastAsia="Times New Roman" w:hAnsi="Times New Roman" w:cs="Times New Roman"/>
                <w:sz w:val="24"/>
                <w:szCs w:val="24"/>
              </w:rPr>
            </w:pPr>
            <w:r w:rsidRPr="00984BEE">
              <w:rPr>
                <w:rFonts w:ascii="Times New Roman" w:eastAsia="Times New Roman" w:hAnsi="Times New Roman" w:cs="Times New Roman"/>
                <w:sz w:val="24"/>
                <w:szCs w:val="24"/>
              </w:rPr>
              <w:t xml:space="preserve">4.1.2 заміна дверей </w:t>
            </w:r>
            <w:r>
              <w:rPr>
                <w:rFonts w:ascii="Times New Roman" w:eastAsia="Times New Roman" w:hAnsi="Times New Roman" w:cs="Times New Roman"/>
                <w:sz w:val="24"/>
                <w:szCs w:val="24"/>
              </w:rPr>
              <w:t>43,452</w:t>
            </w:r>
            <w:r w:rsidRPr="00984BEE">
              <w:rPr>
                <w:rFonts w:ascii="Times New Roman" w:eastAsia="Times New Roman" w:hAnsi="Times New Roman" w:cs="Times New Roman"/>
                <w:sz w:val="24"/>
                <w:szCs w:val="24"/>
              </w:rPr>
              <w:t xml:space="preserve"> </w:t>
            </w:r>
            <w:proofErr w:type="spellStart"/>
            <w:r w:rsidRPr="00984BEE">
              <w:rPr>
                <w:rFonts w:ascii="Times New Roman" w:eastAsia="Times New Roman" w:hAnsi="Times New Roman" w:cs="Times New Roman"/>
                <w:sz w:val="24"/>
                <w:szCs w:val="24"/>
              </w:rPr>
              <w:t>м.кв</w:t>
            </w:r>
            <w:proofErr w:type="spellEnd"/>
            <w:r w:rsidRPr="00984BEE">
              <w:rPr>
                <w:rFonts w:ascii="Times New Roman" w:eastAsia="Times New Roman" w:hAnsi="Times New Roman" w:cs="Times New Roman"/>
                <w:sz w:val="24"/>
                <w:szCs w:val="24"/>
              </w:rPr>
              <w:t>. (23 вироби).</w:t>
            </w:r>
          </w:p>
          <w:p w:rsidR="00984BEE" w:rsidRDefault="00984BEE"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1560B3" w:rsidRDefault="001560B3" w:rsidP="001560B3">
            <w:pPr>
              <w:widowControl w:val="0"/>
              <w:tabs>
                <w:tab w:val="left" w:pos="284"/>
                <w:tab w:val="left" w:pos="426"/>
              </w:tab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4.4.</w:t>
            </w:r>
            <w:r w:rsidRPr="001560B3">
              <w:rPr>
                <w:rFonts w:ascii="Times New Roman" w:eastAsia="Times New Roman" w:hAnsi="Times New Roman" w:cs="Times New Roman"/>
                <w:sz w:val="24"/>
                <w:szCs w:val="24"/>
              </w:rPr>
              <w:tab/>
            </w:r>
            <w:r>
              <w:rPr>
                <w:rFonts w:ascii="Times New Roman" w:eastAsia="Times New Roman" w:hAnsi="Times New Roman" w:cs="Times New Roman"/>
                <w:sz w:val="24"/>
                <w:szCs w:val="24"/>
              </w:rPr>
              <w:t>Виконавець</w:t>
            </w:r>
            <w:r w:rsidRPr="001560B3">
              <w:rPr>
                <w:rFonts w:ascii="Times New Roman" w:eastAsia="Times New Roman" w:hAnsi="Times New Roman" w:cs="Times New Roman"/>
                <w:sz w:val="24"/>
                <w:szCs w:val="24"/>
              </w:rPr>
              <w:t xml:space="preserve"> </w:t>
            </w:r>
            <w:r w:rsidR="00C83CD5">
              <w:rPr>
                <w:rFonts w:ascii="Times New Roman" w:eastAsia="Times New Roman" w:hAnsi="Times New Roman" w:cs="Times New Roman"/>
                <w:sz w:val="24"/>
                <w:szCs w:val="24"/>
              </w:rPr>
              <w:t xml:space="preserve">проводить доставку необхідних матеріалів та конструкцій, </w:t>
            </w:r>
            <w:r>
              <w:rPr>
                <w:rFonts w:ascii="Times New Roman" w:eastAsia="Times New Roman" w:hAnsi="Times New Roman" w:cs="Times New Roman"/>
                <w:sz w:val="24"/>
                <w:szCs w:val="24"/>
              </w:rPr>
              <w:t>проводить</w:t>
            </w:r>
            <w:r w:rsidRPr="001560B3">
              <w:rPr>
                <w:rFonts w:ascii="Times New Roman" w:eastAsia="Times New Roman" w:hAnsi="Times New Roman" w:cs="Times New Roman"/>
                <w:sz w:val="24"/>
                <w:szCs w:val="24"/>
              </w:rPr>
              <w:t xml:space="preserve"> демонтаж старих та монтаж нових вікон</w:t>
            </w:r>
            <w:r>
              <w:rPr>
                <w:rFonts w:ascii="Times New Roman" w:eastAsia="Times New Roman" w:hAnsi="Times New Roman" w:cs="Times New Roman"/>
                <w:sz w:val="24"/>
                <w:szCs w:val="24"/>
              </w:rPr>
              <w:t xml:space="preserve"> та дверей</w:t>
            </w:r>
            <w:r w:rsidRPr="001560B3">
              <w:rPr>
                <w:rFonts w:ascii="Times New Roman" w:eastAsia="Times New Roman" w:hAnsi="Times New Roman" w:cs="Times New Roman"/>
                <w:sz w:val="24"/>
                <w:szCs w:val="24"/>
              </w:rPr>
              <w:t xml:space="preserve">, проводить </w:t>
            </w:r>
            <w:r w:rsidRPr="001560B3">
              <w:rPr>
                <w:rFonts w:ascii="Times New Roman" w:eastAsia="Times New Roman" w:hAnsi="Times New Roman" w:cs="Times New Roman"/>
                <w:sz w:val="24"/>
                <w:szCs w:val="24"/>
                <w:shd w:val="clear" w:color="auto" w:fill="FFFFFF"/>
              </w:rPr>
              <w:t>улаштування укосів після встановлення нових віконних та дверних конструкцій</w:t>
            </w:r>
            <w:r w:rsidRPr="001560B3">
              <w:rPr>
                <w:rFonts w:ascii="Times New Roman" w:eastAsia="Times New Roman" w:hAnsi="Times New Roman" w:cs="Times New Roman"/>
                <w:sz w:val="24"/>
                <w:szCs w:val="24"/>
              </w:rPr>
              <w:t>, вивозить будівельне сміття після демонтажу.</w:t>
            </w:r>
          </w:p>
          <w:p w:rsidR="00F018BD" w:rsidRDefault="00F018BD"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F018BD" w:rsidRPr="00F018BD" w:rsidRDefault="00F018BD" w:rsidP="00F018BD">
            <w:pPr>
              <w:widowControl w:val="0"/>
              <w:tabs>
                <w:tab w:val="left" w:pos="284"/>
                <w:tab w:val="left" w:pos="426"/>
              </w:tabs>
              <w:autoSpaceDE w:val="0"/>
              <w:autoSpaceDN w:val="0"/>
              <w:rPr>
                <w:rFonts w:ascii="Times New Roman" w:eastAsia="Times New Roman" w:hAnsi="Times New Roman" w:cs="Times New Roman"/>
                <w:sz w:val="24"/>
                <w:szCs w:val="24"/>
              </w:rPr>
            </w:pPr>
            <w:r w:rsidRPr="00F018BD">
              <w:rPr>
                <w:rFonts w:ascii="Times New Roman" w:eastAsia="Times New Roman" w:hAnsi="Times New Roman" w:cs="Times New Roman"/>
                <w:sz w:val="24"/>
                <w:szCs w:val="24"/>
              </w:rPr>
              <w:t>4.5.</w:t>
            </w:r>
            <w:r w:rsidRPr="00F018BD">
              <w:rPr>
                <w:rFonts w:ascii="Times New Roman" w:eastAsia="Times New Roman" w:hAnsi="Times New Roman" w:cs="Times New Roman"/>
                <w:sz w:val="24"/>
                <w:szCs w:val="24"/>
              </w:rPr>
              <w:tab/>
              <w:t>Вимоги до віконних блоків:</w:t>
            </w:r>
          </w:p>
          <w:p w:rsidR="00F018BD" w:rsidRDefault="006A19A8" w:rsidP="00F018BD">
            <w:pPr>
              <w:widowControl w:val="0"/>
              <w:tabs>
                <w:tab w:val="left" w:pos="284"/>
                <w:tab w:val="left" w:pos="426"/>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F018BD" w:rsidRPr="00F018BD">
              <w:rPr>
                <w:rFonts w:ascii="Times New Roman" w:eastAsia="Times New Roman" w:hAnsi="Times New Roman" w:cs="Times New Roman"/>
                <w:sz w:val="24"/>
                <w:szCs w:val="24"/>
              </w:rPr>
              <w:t>інімальне допустиме значення опору теплопередачі віконних конструкцій повин</w:t>
            </w:r>
            <w:r w:rsidR="006467FC">
              <w:rPr>
                <w:rFonts w:ascii="Times New Roman" w:eastAsia="Times New Roman" w:hAnsi="Times New Roman" w:cs="Times New Roman"/>
                <w:sz w:val="24"/>
                <w:szCs w:val="24"/>
              </w:rPr>
              <w:t>но</w:t>
            </w:r>
            <w:r w:rsidR="00F018BD" w:rsidRPr="00F018BD">
              <w:rPr>
                <w:rFonts w:ascii="Times New Roman" w:eastAsia="Times New Roman" w:hAnsi="Times New Roman" w:cs="Times New Roman"/>
                <w:sz w:val="24"/>
                <w:szCs w:val="24"/>
              </w:rPr>
              <w:t xml:space="preserve"> склада</w:t>
            </w:r>
            <w:r w:rsidR="00F018BD">
              <w:rPr>
                <w:rFonts w:ascii="Times New Roman" w:eastAsia="Times New Roman" w:hAnsi="Times New Roman" w:cs="Times New Roman"/>
                <w:sz w:val="24"/>
                <w:szCs w:val="24"/>
              </w:rPr>
              <w:t>ти не менш, ніж 0,90 м2 °С/Вт.</w:t>
            </w:r>
          </w:p>
          <w:p w:rsidR="00C83CD5" w:rsidRPr="001560B3" w:rsidRDefault="00C83CD5" w:rsidP="001560B3">
            <w:pPr>
              <w:widowControl w:val="0"/>
              <w:tabs>
                <w:tab w:val="left" w:pos="284"/>
                <w:tab w:val="left" w:pos="426"/>
              </w:tabs>
              <w:autoSpaceDE w:val="0"/>
              <w:autoSpaceDN w:val="0"/>
              <w:rPr>
                <w:rFonts w:ascii="Times New Roman" w:eastAsia="Times New Roman" w:hAnsi="Times New Roman" w:cs="Times New Roman"/>
                <w:sz w:val="24"/>
                <w:szCs w:val="24"/>
              </w:rPr>
            </w:pPr>
          </w:p>
          <w:p w:rsidR="001560B3" w:rsidRDefault="001560B3" w:rsidP="001560B3">
            <w:pPr>
              <w:widowControl w:val="0"/>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shd w:val="clear" w:color="auto" w:fill="FFFFFF"/>
              </w:rPr>
              <w:t>4.6.</w:t>
            </w:r>
            <w:r w:rsidRPr="001560B3">
              <w:rPr>
                <w:rFonts w:ascii="Times New Roman" w:eastAsia="Times New Roman" w:hAnsi="Times New Roman" w:cs="Times New Roman"/>
                <w:sz w:val="24"/>
                <w:szCs w:val="24"/>
              </w:rPr>
              <w:t>Учасник повинен надати у складі пропозиції:</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сертифікат відповідності, висновок державної санітарно-епідеміологічної експертизи, протокол випробувань на пристрої поворотні, відкидні і поворотно-відкидні для віконних та балконних блоків на відповідність вимогам ДСТУ Б В.2.6-39:2008.</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 xml:space="preserve">профілі ПВХ мають відповідати вимогам ДСТУ Б В.2.7-130:2007, на підтвердження у складі тендерної пропозиції </w:t>
            </w:r>
            <w:r w:rsidRPr="00C83CD5">
              <w:rPr>
                <w:rFonts w:ascii="Times New Roman" w:eastAsia="Times New Roman" w:hAnsi="Times New Roman" w:cs="Times New Roman"/>
                <w:sz w:val="24"/>
                <w:szCs w:val="24"/>
              </w:rPr>
              <w:lastRenderedPageBreak/>
              <w:t>надати сертифікат відповідності, протокол випробувань на відповідність, висновок Державної санітарно-епідеміологічної експертизи.</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сертифікат відповідності на натискну гарнітуру для вікон та дверей на відповідність вимогам ДСТУ EN 1906:2014.</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сертифікат відповідності на блоки віконні та дверні на відповідність вимогам ДСТУ EN 14351-1:2020 (EN 14351-1:2006 + А2:2016, IDT), ДБН В.2.6-31:2021 та протоколи випробувань блоків віконних та дверей, та висновок державної санітарно-епідеміологічної експертизи ДСТУ EN 14351-1:2020, ДБН В.2.6-31:2021.</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сертифікат відповідності на склопакети на відповідність вимогам ДСТУ EN 1279-1:2022, ДБН В.2.6-31:2021.</w:t>
            </w:r>
          </w:p>
          <w:p w:rsidR="00C83CD5" w:rsidRP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Висновок державної санітарно-епідеміологічної експертизи на прокладки ущільнювальні щодо відповідності до ДСТУ Б В.2.7-242:2010.</w:t>
            </w:r>
          </w:p>
          <w:p w:rsidR="00C83CD5" w:rsidRDefault="00C83CD5" w:rsidP="00C83CD5">
            <w:pPr>
              <w:widowControl w:val="0"/>
              <w:autoSpaceDE w:val="0"/>
              <w:autoSpaceDN w:val="0"/>
              <w:rPr>
                <w:rFonts w:ascii="Times New Roman" w:eastAsia="Times New Roman" w:hAnsi="Times New Roman" w:cs="Times New Roman"/>
                <w:sz w:val="24"/>
                <w:szCs w:val="24"/>
              </w:rPr>
            </w:pPr>
            <w:r w:rsidRPr="00C83CD5">
              <w:rPr>
                <w:rFonts w:ascii="Times New Roman" w:eastAsia="Times New Roman" w:hAnsi="Times New Roman" w:cs="Times New Roman"/>
                <w:sz w:val="24"/>
                <w:szCs w:val="24"/>
              </w:rPr>
              <w:t>•</w:t>
            </w:r>
            <w:r w:rsidRPr="00C83CD5">
              <w:rPr>
                <w:rFonts w:ascii="Times New Roman" w:eastAsia="Times New Roman" w:hAnsi="Times New Roman" w:cs="Times New Roman"/>
                <w:sz w:val="24"/>
                <w:szCs w:val="24"/>
              </w:rPr>
              <w:tab/>
              <w:t>Сертифікат відповідності на піну монтажну відповідно до ДСТУ Б В.2.7.-158:2008, ДСТУ Б В.2.7.-150:2008.</w:t>
            </w:r>
          </w:p>
          <w:p w:rsidR="00C83CD5" w:rsidRDefault="00C83CD5" w:rsidP="00C83CD5">
            <w:pPr>
              <w:widowControl w:val="0"/>
              <w:autoSpaceDE w:val="0"/>
              <w:autoSpaceDN w:val="0"/>
              <w:rPr>
                <w:rFonts w:ascii="Times New Roman" w:eastAsia="Times New Roman" w:hAnsi="Times New Roman" w:cs="Times New Roman"/>
                <w:sz w:val="24"/>
                <w:szCs w:val="24"/>
              </w:rPr>
            </w:pPr>
          </w:p>
          <w:p w:rsidR="001560B3" w:rsidRPr="001560B3" w:rsidRDefault="00C83CD5" w:rsidP="00251253">
            <w:pPr>
              <w:widowControl w:val="0"/>
              <w:autoSpaceDE w:val="0"/>
              <w:autoSpaceDN w:val="0"/>
              <w:rPr>
                <w:rFonts w:ascii="Times New Roman" w:eastAsia="Calibri" w:hAnsi="Times New Roman" w:cs="Times New Roman"/>
                <w:b/>
                <w:bCs/>
                <w:sz w:val="24"/>
                <w:szCs w:val="24"/>
                <w:shd w:val="clear" w:color="auto" w:fill="FFFFFF"/>
              </w:rPr>
            </w:pPr>
            <w:r>
              <w:rPr>
                <w:rFonts w:ascii="Times New Roman" w:eastAsia="Times New Roman" w:hAnsi="Times New Roman" w:cs="Times New Roman"/>
                <w:bCs/>
                <w:sz w:val="24"/>
                <w:szCs w:val="24"/>
                <w:shd w:val="clear" w:color="auto" w:fill="FFFFFF"/>
              </w:rPr>
              <w:t xml:space="preserve">4.7. </w:t>
            </w:r>
            <w:r w:rsidR="001560B3" w:rsidRPr="00251253">
              <w:rPr>
                <w:rFonts w:ascii="Times New Roman" w:eastAsia="Calibri" w:hAnsi="Times New Roman" w:cs="Times New Roman"/>
                <w:bCs/>
                <w:sz w:val="24"/>
                <w:szCs w:val="24"/>
                <w:shd w:val="clear" w:color="auto" w:fill="FFFFFF"/>
              </w:rPr>
              <w:t xml:space="preserve">Перед початком </w:t>
            </w:r>
            <w:r w:rsidRPr="00251253">
              <w:rPr>
                <w:rFonts w:ascii="Times New Roman" w:eastAsia="Calibri" w:hAnsi="Times New Roman" w:cs="Times New Roman"/>
                <w:bCs/>
                <w:sz w:val="24"/>
                <w:szCs w:val="24"/>
                <w:shd w:val="clear" w:color="auto" w:fill="FFFFFF"/>
              </w:rPr>
              <w:t>надання послуг Виконавець</w:t>
            </w:r>
            <w:r w:rsidR="001560B3" w:rsidRPr="00251253">
              <w:rPr>
                <w:rFonts w:ascii="Times New Roman" w:eastAsia="Calibri" w:hAnsi="Times New Roman" w:cs="Times New Roman"/>
                <w:bCs/>
                <w:sz w:val="24"/>
                <w:szCs w:val="24"/>
                <w:shd w:val="clear" w:color="auto" w:fill="FFFFFF"/>
              </w:rPr>
              <w:t xml:space="preserve"> обов'язково має прибути на об’єкт для уточнення замовлення та замірів віконних та дверних блоків.</w:t>
            </w:r>
          </w:p>
          <w:p w:rsidR="001560B3" w:rsidRPr="001560B3" w:rsidRDefault="001560B3" w:rsidP="001560B3">
            <w:pPr>
              <w:widowControl w:val="0"/>
              <w:autoSpaceDE w:val="0"/>
              <w:autoSpaceDN w:val="0"/>
              <w:rPr>
                <w:rFonts w:ascii="Times New Roman" w:eastAsia="Times New Roman" w:hAnsi="Times New Roman" w:cs="Times New Roman"/>
                <w:b/>
                <w:sz w:val="24"/>
                <w:szCs w:val="24"/>
                <w:u w:val="single"/>
              </w:rPr>
            </w:pPr>
          </w:p>
          <w:p w:rsidR="001560B3" w:rsidRPr="001560B3" w:rsidRDefault="00CF6603" w:rsidP="001560B3">
            <w:pPr>
              <w:widowControl w:val="0"/>
              <w:autoSpaceDE w:val="0"/>
              <w:autoSpaceDN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Примітка:</w:t>
            </w:r>
          </w:p>
          <w:p w:rsidR="001560B3" w:rsidRPr="001560B3" w:rsidRDefault="001560B3" w:rsidP="001560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ind w:firstLine="709"/>
              <w:rPr>
                <w:rFonts w:ascii="Times New Roman" w:eastAsia="Times New Roman" w:hAnsi="Times New Roman" w:cs="Times New Roman CYR"/>
                <w:sz w:val="24"/>
                <w:szCs w:val="24"/>
              </w:rPr>
            </w:pPr>
            <w:r w:rsidRPr="001560B3">
              <w:rPr>
                <w:rFonts w:ascii="Times New Roman" w:eastAsia="Times New Roman" w:hAnsi="Times New Roman" w:cs="Times New Roman"/>
                <w:bCs/>
                <w:sz w:val="24"/>
                <w:szCs w:val="24"/>
              </w:rPr>
              <w:t xml:space="preserve">До пропозиції надається розрахунок вартості </w:t>
            </w:r>
            <w:r w:rsidRPr="001560B3">
              <w:rPr>
                <w:rFonts w:ascii="Times New Roman" w:eastAsia="Times New Roman" w:hAnsi="Times New Roman" w:cs="Times New Roman CYR"/>
                <w:sz w:val="24"/>
                <w:szCs w:val="24"/>
              </w:rPr>
              <w:t>у програмному комплексі АВК (</w:t>
            </w:r>
            <w:r w:rsidRPr="001560B3">
              <w:rPr>
                <w:rFonts w:ascii="Times New Roman" w:eastAsia="Times New Roman" w:hAnsi="Times New Roman" w:cs="Times New Roman"/>
                <w:sz w:val="24"/>
                <w:szCs w:val="24"/>
              </w:rPr>
              <w:t xml:space="preserve">або в інших програмних комплексах, з яких можливо кошторис перенести </w:t>
            </w:r>
            <w:r w:rsidRPr="001560B3">
              <w:rPr>
                <w:rFonts w:ascii="Times New Roman" w:eastAsia="Times New Roman" w:hAnsi="Times New Roman" w:cs="Times New Roman CYR"/>
                <w:sz w:val="24"/>
                <w:szCs w:val="24"/>
              </w:rPr>
              <w:t>у програмний комплекс АВК</w:t>
            </w:r>
            <w:r w:rsidRPr="001560B3">
              <w:rPr>
                <w:rFonts w:ascii="Times New Roman" w:eastAsia="Times New Roman" w:hAnsi="Times New Roman" w:cs="Times New Roman"/>
                <w:sz w:val="24"/>
                <w:szCs w:val="24"/>
              </w:rPr>
              <w:t xml:space="preserve">) </w:t>
            </w:r>
            <w:r w:rsidRPr="001560B3">
              <w:rPr>
                <w:rFonts w:ascii="Times New Roman" w:eastAsia="Times New Roman" w:hAnsi="Times New Roman" w:cs="Times New Roman"/>
                <w:bCs/>
                <w:sz w:val="24"/>
                <w:szCs w:val="24"/>
              </w:rPr>
              <w:t xml:space="preserve">Розрахунок вартості повинен бути </w:t>
            </w:r>
            <w:r w:rsidRPr="001560B3">
              <w:rPr>
                <w:rFonts w:ascii="Times New Roman" w:eastAsia="Times New Roman" w:hAnsi="Times New Roman" w:cs="Times New Roman"/>
                <w:sz w:val="24"/>
                <w:szCs w:val="24"/>
              </w:rPr>
              <w:t xml:space="preserve">розроблений </w:t>
            </w:r>
            <w:r w:rsidRPr="001560B3">
              <w:rPr>
                <w:rFonts w:ascii="Times New Roman" w:eastAsia="Times New Roman" w:hAnsi="Times New Roman" w:cs="Times New Roman CYR"/>
                <w:sz w:val="24"/>
                <w:szCs w:val="24"/>
              </w:rPr>
              <w:t>на підставі державних і галузевих нормативів (</w:t>
            </w:r>
            <w:r w:rsidRPr="001560B3">
              <w:rPr>
                <w:rFonts w:ascii="Times New Roman" w:eastAsia="Times New Roman" w:hAnsi="Times New Roman" w:cs="Times New Roman"/>
                <w:sz w:val="24"/>
                <w:szCs w:val="24"/>
              </w:rPr>
              <w:t xml:space="preserve">ДСТУ) </w:t>
            </w:r>
            <w:r w:rsidRPr="001560B3">
              <w:rPr>
                <w:rFonts w:ascii="Times New Roman" w:eastAsia="Times New Roman" w:hAnsi="Times New Roman" w:cs="Times New Roman CYR"/>
                <w:sz w:val="24"/>
                <w:szCs w:val="24"/>
              </w:rPr>
              <w:t>з урахування всіх витрат.</w:t>
            </w:r>
          </w:p>
          <w:p w:rsidR="001560B3" w:rsidRPr="001560B3" w:rsidRDefault="001560B3" w:rsidP="001560B3">
            <w:pPr>
              <w:widowControl w:val="0"/>
              <w:autoSpaceDE w:val="0"/>
              <w:autoSpaceDN w:val="0"/>
              <w:ind w:firstLine="709"/>
              <w:rPr>
                <w:rFonts w:ascii="Times New Roman" w:eastAsia="Times New Roman" w:hAnsi="Times New Roman" w:cs="Times New Roman"/>
                <w:bCs/>
                <w:iCs/>
                <w:sz w:val="24"/>
                <w:szCs w:val="24"/>
              </w:rPr>
            </w:pPr>
          </w:p>
          <w:p w:rsidR="001560B3" w:rsidRPr="001560B3" w:rsidRDefault="00251253" w:rsidP="00690E59">
            <w:pPr>
              <w:widowControl w:val="0"/>
              <w:autoSpaceDE w:val="0"/>
              <w:autoSpaceDN w:val="0"/>
              <w:ind w:firstLine="709"/>
              <w:rPr>
                <w:rFonts w:ascii="Times New Roman" w:eastAsia="Times New Roman" w:hAnsi="Times New Roman" w:cs="Times New Roman"/>
                <w:sz w:val="24"/>
                <w:szCs w:val="24"/>
              </w:rPr>
            </w:pPr>
            <w:r w:rsidRPr="00251253">
              <w:rPr>
                <w:rFonts w:ascii="Times New Roman" w:eastAsia="Times New Roman" w:hAnsi="Times New Roman" w:cs="Times New Roman"/>
                <w:bCs/>
                <w:iCs/>
                <w:sz w:val="24"/>
                <w:szCs w:val="24"/>
              </w:rPr>
              <w:t>До договірної ціни в складі пропозиції учасників надаються усі розрахунки, які є її складовими</w:t>
            </w:r>
            <w:r w:rsidR="001560B3" w:rsidRPr="001560B3">
              <w:rPr>
                <w:rFonts w:ascii="Times New Roman" w:eastAsia="Times New Roman" w:hAnsi="Times New Roman" w:cs="Times New Roman"/>
                <w:sz w:val="24"/>
                <w:szCs w:val="24"/>
              </w:rPr>
              <w:t>:</w:t>
            </w:r>
          </w:p>
          <w:p w:rsidR="001560B3" w:rsidRPr="001560B3" w:rsidRDefault="001560B3" w:rsidP="00690E59">
            <w:pPr>
              <w:widowControl w:val="0"/>
              <w:autoSpaceDE w:val="0"/>
              <w:autoSpaceDN w:val="0"/>
              <w:ind w:firstLine="709"/>
              <w:rPr>
                <w:rFonts w:ascii="Times New Roman" w:eastAsia="Times New Roman" w:hAnsi="Times New Roman" w:cs="Times New Roman"/>
                <w:sz w:val="24"/>
                <w:szCs w:val="24"/>
              </w:rPr>
            </w:pPr>
          </w:p>
          <w:p w:rsidR="001560B3" w:rsidRPr="001560B3" w:rsidRDefault="001560B3" w:rsidP="00690E59">
            <w:pPr>
              <w:widowControl w:val="0"/>
              <w:numPr>
                <w:ilvl w:val="0"/>
                <w:numId w:val="1"/>
              </w:numPr>
              <w:suppressAutoHyphens/>
              <w:autoSpaceDE w:val="0"/>
              <w:autoSpaceDN w:val="0"/>
              <w:spacing w:line="259" w:lineRule="auto"/>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Пояснювальна записка </w:t>
            </w:r>
          </w:p>
          <w:p w:rsidR="001560B3" w:rsidRPr="001560B3" w:rsidRDefault="001560B3" w:rsidP="00690E59">
            <w:pPr>
              <w:widowControl w:val="0"/>
              <w:numPr>
                <w:ilvl w:val="0"/>
                <w:numId w:val="1"/>
              </w:numPr>
              <w:suppressAutoHyphens/>
              <w:autoSpaceDE w:val="0"/>
              <w:autoSpaceDN w:val="0"/>
              <w:spacing w:line="259" w:lineRule="auto"/>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Дефектний акт</w:t>
            </w:r>
          </w:p>
          <w:p w:rsidR="001560B3" w:rsidRPr="001560B3" w:rsidRDefault="001560B3" w:rsidP="00690E59">
            <w:pPr>
              <w:widowControl w:val="0"/>
              <w:numPr>
                <w:ilvl w:val="0"/>
                <w:numId w:val="1"/>
              </w:numPr>
              <w:suppressAutoHyphens/>
              <w:autoSpaceDE w:val="0"/>
              <w:autoSpaceDN w:val="0"/>
              <w:spacing w:line="259" w:lineRule="auto"/>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Локальний кошторис  </w:t>
            </w:r>
          </w:p>
          <w:p w:rsidR="001560B3" w:rsidRPr="001560B3" w:rsidRDefault="001560B3" w:rsidP="00690E59">
            <w:pPr>
              <w:widowControl w:val="0"/>
              <w:numPr>
                <w:ilvl w:val="0"/>
                <w:numId w:val="1"/>
              </w:numPr>
              <w:suppressAutoHyphens/>
              <w:autoSpaceDE w:val="0"/>
              <w:autoSpaceDN w:val="0"/>
              <w:spacing w:line="259" w:lineRule="auto"/>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 xml:space="preserve">Відомість ресурсів </w:t>
            </w:r>
          </w:p>
          <w:p w:rsidR="001560B3" w:rsidRPr="001560B3" w:rsidRDefault="001560B3" w:rsidP="00690E59">
            <w:pPr>
              <w:widowControl w:val="0"/>
              <w:numPr>
                <w:ilvl w:val="0"/>
                <w:numId w:val="1"/>
              </w:numPr>
              <w:tabs>
                <w:tab w:val="left" w:pos="72"/>
              </w:tabs>
              <w:suppressAutoHyphens/>
              <w:autoSpaceDE w:val="0"/>
              <w:autoSpaceDN w:val="0"/>
              <w:spacing w:line="259" w:lineRule="auto"/>
              <w:ind w:left="72" w:firstLine="90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Розрахунок загальновиробничих витрат</w:t>
            </w:r>
          </w:p>
          <w:p w:rsidR="001560B3" w:rsidRPr="001560B3" w:rsidRDefault="001560B3" w:rsidP="001560B3">
            <w:pPr>
              <w:widowControl w:val="0"/>
              <w:tabs>
                <w:tab w:val="left" w:pos="72"/>
              </w:tabs>
              <w:suppressAutoHyphens/>
              <w:autoSpaceDE w:val="0"/>
              <w:autoSpaceDN w:val="0"/>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ab/>
            </w:r>
            <w:r w:rsidRPr="001560B3">
              <w:rPr>
                <w:rFonts w:ascii="Times New Roman" w:eastAsia="Times New Roman" w:hAnsi="Times New Roman" w:cs="Times New Roman"/>
                <w:sz w:val="24"/>
                <w:szCs w:val="24"/>
              </w:rPr>
              <w:tab/>
              <w:t xml:space="preserve">При підписанні актів наданих послуг </w:t>
            </w:r>
            <w:r w:rsidR="00690E59">
              <w:rPr>
                <w:rFonts w:ascii="Times New Roman" w:eastAsia="Times New Roman" w:hAnsi="Times New Roman" w:cs="Times New Roman"/>
                <w:sz w:val="24"/>
                <w:szCs w:val="24"/>
              </w:rPr>
              <w:t>виконавець</w:t>
            </w:r>
            <w:r w:rsidRPr="001560B3">
              <w:rPr>
                <w:rFonts w:ascii="Times New Roman" w:eastAsia="Times New Roman" w:hAnsi="Times New Roman" w:cs="Times New Roman"/>
                <w:sz w:val="24"/>
                <w:szCs w:val="24"/>
              </w:rPr>
              <w:t xml:space="preserve"> повинен надати копії сертифікатів якості та копії накладних (або чеків) на основні </w:t>
            </w:r>
            <w:r w:rsidRPr="001560B3">
              <w:rPr>
                <w:rFonts w:ascii="Times New Roman" w:eastAsia="Times New Roman" w:hAnsi="Times New Roman" w:cs="Times New Roman"/>
                <w:sz w:val="24"/>
                <w:szCs w:val="24"/>
              </w:rPr>
              <w:lastRenderedPageBreak/>
              <w:t>матеріали які будуть використані при виконанні послуги для підтвердження їх якості та вартості.</w:t>
            </w:r>
          </w:p>
          <w:p w:rsidR="001560B3" w:rsidRPr="001560B3" w:rsidRDefault="001560B3" w:rsidP="001560B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rPr>
                <w:rFonts w:ascii="Times New Roman" w:eastAsia="Times New Roman" w:hAnsi="Times New Roman" w:cs="Times New Roman"/>
                <w:color w:val="FF0000"/>
                <w:sz w:val="24"/>
                <w:szCs w:val="24"/>
              </w:rPr>
            </w:pPr>
            <w:r w:rsidRPr="001560B3">
              <w:rPr>
                <w:rFonts w:ascii="Times New Roman" w:eastAsia="Times New Roman" w:hAnsi="Times New Roman" w:cs="Times New Roman"/>
                <w:sz w:val="24"/>
                <w:szCs w:val="24"/>
              </w:rPr>
              <w:tab/>
            </w:r>
          </w:p>
          <w:p w:rsidR="001560B3" w:rsidRDefault="001560B3" w:rsidP="00690E59">
            <w:pPr>
              <w:rPr>
                <w:rFonts w:ascii="Times New Roman" w:eastAsia="Times New Roman" w:hAnsi="Times New Roman" w:cs="Times New Roman"/>
                <w:sz w:val="24"/>
                <w:szCs w:val="24"/>
              </w:rPr>
            </w:pPr>
            <w:r w:rsidRPr="001560B3">
              <w:rPr>
                <w:rFonts w:ascii="Times New Roman" w:eastAsia="Times New Roman" w:hAnsi="Times New Roman" w:cs="Times New Roman"/>
                <w:sz w:val="24"/>
                <w:szCs w:val="24"/>
              </w:rPr>
              <w:tab/>
            </w:r>
            <w:r w:rsidR="00690E59" w:rsidRPr="00690E59">
              <w:rPr>
                <w:rFonts w:ascii="Times New Roman" w:eastAsia="Times New Roman" w:hAnsi="Times New Roman" w:cs="Times New Roman"/>
                <w:sz w:val="24"/>
                <w:szCs w:val="24"/>
              </w:rPr>
              <w:t>З метою підтвердження можливості вчасного та належного надання послуг учасники у складі своєї пропозиції мають надати інформаційну довідку, складену в довільній формі, щодо фінансової спроможності учасника стосовно закупівлі необхідних товарів та матеріалів для надання послуг за предметом закупівлі.</w:t>
            </w:r>
          </w:p>
          <w:p w:rsidR="00251253" w:rsidRDefault="00251253" w:rsidP="00690E59">
            <w:pPr>
              <w:rPr>
                <w:rFonts w:ascii="Times New Roman" w:eastAsia="Times New Roman" w:hAnsi="Times New Roman" w:cs="Times New Roman"/>
                <w:sz w:val="24"/>
                <w:szCs w:val="24"/>
              </w:rPr>
            </w:pPr>
          </w:p>
          <w:tbl>
            <w:tblPr>
              <w:tblW w:w="0" w:type="auto"/>
              <w:jc w:val="center"/>
              <w:tblCellMar>
                <w:left w:w="28" w:type="dxa"/>
                <w:right w:w="28" w:type="dxa"/>
              </w:tblCellMar>
              <w:tblLook w:val="0000" w:firstRow="0" w:lastRow="0" w:firstColumn="0" w:lastColumn="0" w:noHBand="0" w:noVBand="0"/>
            </w:tblPr>
            <w:tblGrid>
              <w:gridCol w:w="279"/>
              <w:gridCol w:w="1850"/>
              <w:gridCol w:w="138"/>
              <w:gridCol w:w="878"/>
              <w:gridCol w:w="853"/>
              <w:gridCol w:w="840"/>
              <w:gridCol w:w="47"/>
            </w:tblGrid>
            <w:tr w:rsidR="00251253" w:rsidRPr="00A4582E" w:rsidTr="007E0AC7">
              <w:trPr>
                <w:gridAfter w:val="1"/>
                <w:wAfter w:w="127" w:type="dxa"/>
                <w:jc w:val="center"/>
              </w:trPr>
              <w:tc>
                <w:tcPr>
                  <w:tcW w:w="10206" w:type="dxa"/>
                  <w:gridSpan w:val="6"/>
                  <w:tcBorders>
                    <w:top w:val="nil"/>
                    <w:left w:val="nil"/>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b/>
                      <w:bCs/>
                      <w:spacing w:val="-3"/>
                      <w:sz w:val="24"/>
                      <w:szCs w:val="24"/>
                      <w:lang w:eastAsia="uk-UA"/>
                    </w:rPr>
                    <w:t>ДЕФЕКТНИЙ АКТ</w:t>
                  </w:r>
                </w:p>
              </w:tc>
            </w:tr>
            <w:tr w:rsidR="00251253" w:rsidRPr="00A4582E" w:rsidTr="007E0AC7">
              <w:trPr>
                <w:gridAfter w:val="1"/>
                <w:wAfter w:w="127" w:type="dxa"/>
                <w:jc w:val="center"/>
              </w:trPr>
              <w:tc>
                <w:tcPr>
                  <w:tcW w:w="5330" w:type="dxa"/>
                  <w:gridSpan w:val="2"/>
                  <w:tcBorders>
                    <w:top w:val="nil"/>
                    <w:left w:val="nil"/>
                    <w:bottom w:val="nil"/>
                    <w:right w:val="nil"/>
                  </w:tcBorders>
                </w:tcPr>
                <w:p w:rsidR="00251253" w:rsidRPr="00A4582E" w:rsidRDefault="00251253" w:rsidP="00251253">
                  <w:pPr>
                    <w:keepLines/>
                    <w:rPr>
                      <w:rFonts w:ascii="Arial" w:hAnsi="Arial" w:cs="Arial"/>
                      <w:sz w:val="16"/>
                      <w:szCs w:val="16"/>
                      <w:lang w:val="ru-RU" w:eastAsia="uk-UA"/>
                    </w:rPr>
                  </w:pPr>
                  <w:r w:rsidRPr="00A4582E">
                    <w:rPr>
                      <w:rFonts w:ascii="Arial" w:hAnsi="Arial" w:cs="Arial"/>
                      <w:sz w:val="16"/>
                      <w:szCs w:val="16"/>
                      <w:lang w:val="ru-RU" w:eastAsia="uk-UA"/>
                    </w:rPr>
                    <w:t xml:space="preserve"> </w:t>
                  </w:r>
                </w:p>
              </w:tc>
              <w:tc>
                <w:tcPr>
                  <w:tcW w:w="4876" w:type="dxa"/>
                  <w:gridSpan w:val="4"/>
                  <w:tcBorders>
                    <w:top w:val="nil"/>
                    <w:left w:val="nil"/>
                    <w:bottom w:val="nil"/>
                    <w:right w:val="nil"/>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gridAfter w:val="1"/>
                <w:wAfter w:w="127" w:type="dxa"/>
                <w:jc w:val="center"/>
              </w:trPr>
              <w:tc>
                <w:tcPr>
                  <w:tcW w:w="10206" w:type="dxa"/>
                  <w:gridSpan w:val="6"/>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Вікна</w:t>
                  </w:r>
                  <w:r>
                    <w:rPr>
                      <w:rFonts w:ascii="Arial" w:hAnsi="Arial" w:cs="Arial"/>
                      <w:spacing w:val="-3"/>
                      <w:sz w:val="20"/>
                      <w:szCs w:val="20"/>
                      <w:lang w:eastAsia="uk-UA"/>
                    </w:rPr>
                    <w:t>, двері</w:t>
                  </w:r>
                </w:p>
              </w:tc>
            </w:tr>
            <w:tr w:rsidR="00251253" w:rsidRPr="00A4582E" w:rsidTr="007E0AC7">
              <w:trPr>
                <w:gridAfter w:val="1"/>
                <w:wAfter w:w="127" w:type="dxa"/>
                <w:jc w:val="center"/>
              </w:trPr>
              <w:tc>
                <w:tcPr>
                  <w:tcW w:w="5330" w:type="dxa"/>
                  <w:gridSpan w:val="2"/>
                  <w:tcBorders>
                    <w:top w:val="nil"/>
                    <w:left w:val="nil"/>
                    <w:bottom w:val="nil"/>
                    <w:right w:val="nil"/>
                  </w:tcBorders>
                </w:tcPr>
                <w:p w:rsidR="00251253" w:rsidRPr="00A4582E" w:rsidRDefault="00251253" w:rsidP="00251253">
                  <w:pPr>
                    <w:keepLines/>
                    <w:rPr>
                      <w:rFonts w:ascii="Arial" w:hAnsi="Arial" w:cs="Arial"/>
                      <w:sz w:val="16"/>
                      <w:szCs w:val="16"/>
                      <w:lang w:val="ru-RU" w:eastAsia="uk-UA"/>
                    </w:rPr>
                  </w:pPr>
                  <w:r w:rsidRPr="00A4582E">
                    <w:rPr>
                      <w:rFonts w:ascii="Arial" w:hAnsi="Arial" w:cs="Arial"/>
                      <w:sz w:val="16"/>
                      <w:szCs w:val="16"/>
                      <w:lang w:val="ru-RU" w:eastAsia="uk-UA"/>
                    </w:rPr>
                    <w:t xml:space="preserve"> </w:t>
                  </w:r>
                </w:p>
              </w:tc>
              <w:tc>
                <w:tcPr>
                  <w:tcW w:w="4876" w:type="dxa"/>
                  <w:gridSpan w:val="4"/>
                  <w:tcBorders>
                    <w:top w:val="nil"/>
                    <w:left w:val="nil"/>
                    <w:bottom w:val="nil"/>
                    <w:right w:val="nil"/>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gridAfter w:val="1"/>
                <w:wAfter w:w="127" w:type="dxa"/>
                <w:jc w:val="center"/>
              </w:trPr>
              <w:tc>
                <w:tcPr>
                  <w:tcW w:w="10206" w:type="dxa"/>
                  <w:gridSpan w:val="6"/>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Умови виконання робіт К=1,2, будівля, що експлуатується</w:t>
                  </w:r>
                </w:p>
              </w:tc>
            </w:tr>
            <w:tr w:rsidR="00251253" w:rsidRPr="00A4582E" w:rsidTr="007E0AC7">
              <w:trPr>
                <w:gridAfter w:val="1"/>
                <w:wAfter w:w="127" w:type="dxa"/>
                <w:jc w:val="center"/>
              </w:trPr>
              <w:tc>
                <w:tcPr>
                  <w:tcW w:w="5330" w:type="dxa"/>
                  <w:gridSpan w:val="2"/>
                  <w:tcBorders>
                    <w:top w:val="nil"/>
                    <w:left w:val="nil"/>
                    <w:bottom w:val="nil"/>
                    <w:right w:val="nil"/>
                  </w:tcBorders>
                </w:tcPr>
                <w:p w:rsidR="00251253" w:rsidRPr="00A4582E" w:rsidRDefault="00251253" w:rsidP="00251253">
                  <w:pPr>
                    <w:keepLines/>
                    <w:rPr>
                      <w:rFonts w:ascii="Arial" w:hAnsi="Arial" w:cs="Arial"/>
                      <w:sz w:val="16"/>
                      <w:szCs w:val="16"/>
                      <w:lang w:val="ru-RU" w:eastAsia="uk-UA"/>
                    </w:rPr>
                  </w:pPr>
                  <w:r w:rsidRPr="00A4582E">
                    <w:rPr>
                      <w:rFonts w:ascii="Arial" w:hAnsi="Arial" w:cs="Arial"/>
                      <w:sz w:val="16"/>
                      <w:szCs w:val="16"/>
                      <w:lang w:val="ru-RU" w:eastAsia="uk-UA"/>
                    </w:rPr>
                    <w:t xml:space="preserve"> </w:t>
                  </w:r>
                </w:p>
              </w:tc>
              <w:tc>
                <w:tcPr>
                  <w:tcW w:w="4876" w:type="dxa"/>
                  <w:gridSpan w:val="4"/>
                  <w:tcBorders>
                    <w:top w:val="nil"/>
                    <w:left w:val="nil"/>
                    <w:bottom w:val="nil"/>
                    <w:right w:val="nil"/>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gridAfter w:val="1"/>
                <w:wAfter w:w="127" w:type="dxa"/>
                <w:jc w:val="center"/>
              </w:trPr>
              <w:tc>
                <w:tcPr>
                  <w:tcW w:w="10206" w:type="dxa"/>
                  <w:gridSpan w:val="6"/>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Об'єми робіт</w:t>
                  </w:r>
                </w:p>
              </w:tc>
            </w:tr>
            <w:tr w:rsidR="00251253" w:rsidRPr="00A4582E" w:rsidTr="007E0AC7">
              <w:trPr>
                <w:jc w:val="center"/>
              </w:trPr>
              <w:tc>
                <w:tcPr>
                  <w:tcW w:w="567" w:type="dxa"/>
                  <w:tcBorders>
                    <w:top w:val="single" w:sz="12" w:space="0" w:color="auto"/>
                    <w:left w:val="single" w:sz="12" w:space="0" w:color="auto"/>
                    <w:bottom w:val="nil"/>
                    <w:right w:val="single" w:sz="4" w:space="0" w:color="auto"/>
                  </w:tcBorders>
                  <w:vAlign w:val="center"/>
                </w:tcPr>
                <w:p w:rsidR="00251253" w:rsidRPr="00A4582E" w:rsidRDefault="00251253" w:rsidP="00251253">
                  <w:pPr>
                    <w:keepLines/>
                    <w:jc w:val="center"/>
                    <w:rPr>
                      <w:rFonts w:ascii="Arial" w:hAnsi="Arial" w:cs="Arial"/>
                      <w:spacing w:val="-3"/>
                      <w:sz w:val="20"/>
                      <w:szCs w:val="20"/>
                      <w:lang w:eastAsia="uk-UA"/>
                    </w:rPr>
                  </w:pPr>
                  <w:r w:rsidRPr="00A4582E">
                    <w:rPr>
                      <w:rFonts w:ascii="Arial" w:hAnsi="Arial" w:cs="Arial"/>
                      <w:spacing w:val="-3"/>
                      <w:sz w:val="20"/>
                      <w:szCs w:val="20"/>
                      <w:lang w:eastAsia="uk-UA"/>
                    </w:rPr>
                    <w:t>№</w:t>
                  </w:r>
                </w:p>
                <w:p w:rsidR="00251253" w:rsidRPr="00A4582E" w:rsidRDefault="00251253" w:rsidP="00251253">
                  <w:pPr>
                    <w:keepLines/>
                    <w:jc w:val="center"/>
                    <w:rPr>
                      <w:rFonts w:ascii="Arial" w:hAnsi="Arial" w:cs="Arial"/>
                      <w:sz w:val="20"/>
                      <w:szCs w:val="20"/>
                      <w:lang w:val="ru-RU" w:eastAsia="uk-UA"/>
                    </w:rPr>
                  </w:pPr>
                </w:p>
              </w:tc>
              <w:tc>
                <w:tcPr>
                  <w:tcW w:w="5387" w:type="dxa"/>
                  <w:gridSpan w:val="2"/>
                  <w:tcBorders>
                    <w:top w:val="single" w:sz="12" w:space="0" w:color="auto"/>
                    <w:left w:val="nil"/>
                    <w:bottom w:val="nil"/>
                    <w:right w:val="nil"/>
                  </w:tcBorders>
                  <w:vAlign w:val="center"/>
                </w:tcPr>
                <w:p w:rsidR="00251253" w:rsidRPr="00A4582E" w:rsidRDefault="00251253" w:rsidP="00251253">
                  <w:pPr>
                    <w:keepLines/>
                    <w:jc w:val="center"/>
                    <w:rPr>
                      <w:rFonts w:ascii="Arial" w:hAnsi="Arial" w:cs="Arial"/>
                      <w:spacing w:val="-3"/>
                      <w:sz w:val="20"/>
                      <w:szCs w:val="20"/>
                      <w:lang w:eastAsia="uk-UA"/>
                    </w:rPr>
                  </w:pPr>
                </w:p>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Найменування робіт і витрат</w:t>
                  </w:r>
                </w:p>
              </w:tc>
              <w:tc>
                <w:tcPr>
                  <w:tcW w:w="1418" w:type="dxa"/>
                  <w:tcBorders>
                    <w:top w:val="single" w:sz="12" w:space="0" w:color="auto"/>
                    <w:left w:val="single" w:sz="4" w:space="0" w:color="auto"/>
                    <w:bottom w:val="nil"/>
                    <w:right w:val="nil"/>
                  </w:tcBorders>
                  <w:vAlign w:val="center"/>
                </w:tcPr>
                <w:p w:rsidR="00251253" w:rsidRPr="00A4582E" w:rsidRDefault="00251253" w:rsidP="00251253">
                  <w:pPr>
                    <w:keepLines/>
                    <w:jc w:val="center"/>
                    <w:rPr>
                      <w:rFonts w:ascii="Arial" w:hAnsi="Arial" w:cs="Arial"/>
                      <w:spacing w:val="-3"/>
                      <w:sz w:val="20"/>
                      <w:szCs w:val="20"/>
                      <w:lang w:eastAsia="uk-UA"/>
                    </w:rPr>
                  </w:pPr>
                  <w:r w:rsidRPr="00A4582E">
                    <w:rPr>
                      <w:rFonts w:ascii="Arial" w:hAnsi="Arial" w:cs="Arial"/>
                      <w:spacing w:val="-3"/>
                      <w:sz w:val="20"/>
                      <w:szCs w:val="20"/>
                      <w:lang w:eastAsia="uk-UA"/>
                    </w:rPr>
                    <w:t>Одиниця</w:t>
                  </w:r>
                </w:p>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виміру</w:t>
                  </w:r>
                </w:p>
              </w:tc>
              <w:tc>
                <w:tcPr>
                  <w:tcW w:w="1418" w:type="dxa"/>
                  <w:tcBorders>
                    <w:top w:val="single" w:sz="12" w:space="0" w:color="auto"/>
                    <w:left w:val="single" w:sz="4" w:space="0" w:color="auto"/>
                    <w:bottom w:val="nil"/>
                    <w:right w:val="single" w:sz="4" w:space="0" w:color="auto"/>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Примітка</w:t>
                  </w:r>
                </w:p>
              </w:tc>
            </w:tr>
            <w:tr w:rsidR="00251253" w:rsidRPr="00A4582E" w:rsidTr="007E0AC7">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w:t>
                  </w:r>
                </w:p>
              </w:tc>
              <w:tc>
                <w:tcPr>
                  <w:tcW w:w="5387" w:type="dxa"/>
                  <w:gridSpan w:val="2"/>
                  <w:tcBorders>
                    <w:top w:val="single" w:sz="4" w:space="0" w:color="auto"/>
                    <w:left w:val="nil"/>
                    <w:bottom w:val="single" w:sz="4" w:space="0" w:color="auto"/>
                    <w:right w:val="nil"/>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w:t>
                  </w:r>
                </w:p>
              </w:tc>
              <w:tc>
                <w:tcPr>
                  <w:tcW w:w="1418" w:type="dxa"/>
                  <w:tcBorders>
                    <w:top w:val="single" w:sz="4" w:space="0" w:color="auto"/>
                    <w:left w:val="single" w:sz="4" w:space="0" w:color="auto"/>
                    <w:bottom w:val="single" w:sz="4" w:space="0" w:color="auto"/>
                    <w:right w:val="nil"/>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5</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Демонтаж віконних коробок в кам'яних стінах з</w:t>
                  </w:r>
                  <w:r>
                    <w:rPr>
                      <w:rFonts w:ascii="Arial" w:hAnsi="Arial" w:cs="Arial"/>
                      <w:spacing w:val="-3"/>
                      <w:sz w:val="20"/>
                      <w:szCs w:val="20"/>
                      <w:lang w:eastAsia="uk-UA"/>
                    </w:rPr>
                    <w:t xml:space="preserve"> </w:t>
                  </w:r>
                  <w:r w:rsidRPr="00A4582E">
                    <w:rPr>
                      <w:rFonts w:ascii="Arial" w:hAnsi="Arial" w:cs="Arial"/>
                      <w:spacing w:val="-3"/>
                      <w:sz w:val="20"/>
                      <w:szCs w:val="20"/>
                      <w:lang w:eastAsia="uk-UA"/>
                    </w:rPr>
                    <w:t>відбиванням штукатурки в укосах</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w:t>
                  </w:r>
                  <w:proofErr w:type="spellStart"/>
                  <w:r w:rsidRPr="00A4582E">
                    <w:rPr>
                      <w:rFonts w:ascii="Arial" w:hAnsi="Arial" w:cs="Arial"/>
                      <w:spacing w:val="-3"/>
                      <w:sz w:val="20"/>
                      <w:szCs w:val="20"/>
                      <w:lang w:eastAsia="uk-UA"/>
                    </w:rPr>
                    <w:t>шт</w:t>
                  </w:r>
                  <w:proofErr w:type="spellEnd"/>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125</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Знімання засклених віконних рам</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807049">
                    <w:rPr>
                      <w:rFonts w:ascii="Arial" w:hAnsi="Arial" w:cs="Arial"/>
                      <w:spacing w:val="-3"/>
                      <w:sz w:val="20"/>
                      <w:szCs w:val="20"/>
                      <w:lang w:eastAsia="uk-UA"/>
                    </w:rPr>
                    <w:t>284,548</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3</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Демонтаж дверних коробок в кам'яних стінах з</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відбиванням штукатурки в укосах</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w:t>
                  </w:r>
                  <w:proofErr w:type="spellStart"/>
                  <w:r w:rsidRPr="00A4582E">
                    <w:rPr>
                      <w:rFonts w:ascii="Arial" w:hAnsi="Arial" w:cs="Arial"/>
                      <w:spacing w:val="-3"/>
                      <w:sz w:val="20"/>
                      <w:szCs w:val="20"/>
                      <w:lang w:eastAsia="uk-UA"/>
                    </w:rPr>
                    <w:t>шт</w:t>
                  </w:r>
                  <w:proofErr w:type="spellEnd"/>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Pr>
                      <w:rFonts w:ascii="Arial" w:hAnsi="Arial" w:cs="Arial"/>
                      <w:spacing w:val="-3"/>
                      <w:sz w:val="20"/>
                      <w:szCs w:val="20"/>
                      <w:lang w:eastAsia="uk-UA"/>
                    </w:rPr>
                    <w:t>23</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4</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Знімання дверних полотен</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43,452</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5</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Заповнення віконних прорізів готовими блоками</w:t>
                  </w:r>
                </w:p>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площею до 1 м2 з металопластику в кам'яних стінах</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житлових і громадських будівель</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1,485</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lastRenderedPageBreak/>
                    <w:t>6</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Заповнення віконних прорізів готовими блоками з</w:t>
                  </w:r>
                </w:p>
                <w:p w:rsidR="00251253" w:rsidRPr="00A4582E" w:rsidRDefault="00251253" w:rsidP="00251253">
                  <w:pPr>
                    <w:keepLines/>
                    <w:rPr>
                      <w:rFonts w:ascii="Arial" w:hAnsi="Arial" w:cs="Arial"/>
                      <w:spacing w:val="-3"/>
                      <w:sz w:val="20"/>
                      <w:szCs w:val="20"/>
                      <w:lang w:eastAsia="uk-UA"/>
                    </w:rPr>
                  </w:pPr>
                  <w:r>
                    <w:rPr>
                      <w:rFonts w:ascii="Arial" w:hAnsi="Arial" w:cs="Arial"/>
                      <w:spacing w:val="-3"/>
                      <w:sz w:val="20"/>
                      <w:szCs w:val="20"/>
                      <w:lang w:eastAsia="uk-UA"/>
                    </w:rPr>
                    <w:t>металопластику</w:t>
                  </w:r>
                  <w:r w:rsidRPr="00A4582E">
                    <w:rPr>
                      <w:rFonts w:ascii="Arial" w:hAnsi="Arial" w:cs="Arial"/>
                      <w:spacing w:val="-3"/>
                      <w:sz w:val="20"/>
                      <w:szCs w:val="20"/>
                      <w:lang w:eastAsia="uk-UA"/>
                    </w:rPr>
                    <w:t xml:space="preserve"> площею до 2 м2 в кам'яних стінах житлових і</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громадських будівель</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22,86</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7</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Заповнення віконних прорізів готовими блоками</w:t>
                  </w:r>
                </w:p>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площею до 3 м2 з металопластику в кам'яних стінах</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житлових і громадських будівель</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807049" w:rsidRDefault="00251253" w:rsidP="00251253">
                  <w:pPr>
                    <w:keepLines/>
                    <w:jc w:val="center"/>
                    <w:rPr>
                      <w:rFonts w:ascii="Arial" w:hAnsi="Arial" w:cs="Arial"/>
                      <w:spacing w:val="-3"/>
                      <w:sz w:val="20"/>
                      <w:szCs w:val="20"/>
                      <w:lang w:eastAsia="uk-UA"/>
                    </w:rPr>
                  </w:pPr>
                  <w:r w:rsidRPr="00807049">
                    <w:rPr>
                      <w:rFonts w:ascii="Arial" w:hAnsi="Arial" w:cs="Arial"/>
                      <w:spacing w:val="-3"/>
                      <w:sz w:val="20"/>
                      <w:szCs w:val="20"/>
                      <w:lang w:eastAsia="uk-UA"/>
                    </w:rPr>
                    <w:t>260,203</w:t>
                  </w:r>
                </w:p>
                <w:p w:rsidR="00251253" w:rsidRPr="00807049" w:rsidRDefault="00251253" w:rsidP="00251253">
                  <w:pPr>
                    <w:keepLines/>
                    <w:jc w:val="center"/>
                    <w:rPr>
                      <w:rFonts w:ascii="Arial" w:hAnsi="Arial" w:cs="Arial"/>
                      <w:spacing w:val="-3"/>
                      <w:sz w:val="20"/>
                      <w:szCs w:val="20"/>
                      <w:lang w:eastAsia="uk-UA"/>
                    </w:rPr>
                  </w:pPr>
                </w:p>
                <w:p w:rsidR="00251253" w:rsidRPr="00A4582E" w:rsidRDefault="00251253" w:rsidP="00251253">
                  <w:pPr>
                    <w:keepLines/>
                    <w:jc w:val="center"/>
                    <w:rPr>
                      <w:rFonts w:ascii="Arial" w:hAnsi="Arial" w:cs="Arial"/>
                      <w:sz w:val="20"/>
                      <w:szCs w:val="20"/>
                      <w:lang w:val="ru-RU" w:eastAsia="uk-UA"/>
                    </w:rPr>
                  </w:pP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8</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Заповнення дверних прорізів готовими дверними</w:t>
                  </w:r>
                </w:p>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блоками площею до 2 м2 з металопластику у кам'яних</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стінах</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26,482</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9</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Заповнення дверних прорізів готовими дверними</w:t>
                  </w:r>
                </w:p>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блоками площею понад 2 до 3 м2 з металопластику у</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кам'яних стінах</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16,97</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10</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Штукатурення плоских поверхонь віконних та дверних</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укосів по бетону та каменю</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295,5</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11</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Перетирання штукатурки внутрішніх приміщень</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224,5</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12</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z w:val="20"/>
                      <w:szCs w:val="20"/>
                      <w:lang w:val="ru-RU" w:eastAsia="uk-UA"/>
                    </w:rPr>
                  </w:pPr>
                  <w:proofErr w:type="spellStart"/>
                  <w:r w:rsidRPr="00A4582E">
                    <w:rPr>
                      <w:rFonts w:ascii="Arial" w:hAnsi="Arial" w:cs="Arial"/>
                      <w:spacing w:val="-3"/>
                      <w:sz w:val="20"/>
                      <w:szCs w:val="20"/>
                      <w:lang w:eastAsia="uk-UA"/>
                    </w:rPr>
                    <w:t>Безпіщане</w:t>
                  </w:r>
                  <w:proofErr w:type="spellEnd"/>
                  <w:r w:rsidRPr="00A4582E">
                    <w:rPr>
                      <w:rFonts w:ascii="Arial" w:hAnsi="Arial" w:cs="Arial"/>
                      <w:spacing w:val="-3"/>
                      <w:sz w:val="20"/>
                      <w:szCs w:val="20"/>
                      <w:lang w:eastAsia="uk-UA"/>
                    </w:rPr>
                    <w:t xml:space="preserve"> накриття стін</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520</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13</w:t>
                  </w:r>
                </w:p>
              </w:tc>
              <w:tc>
                <w:tcPr>
                  <w:tcW w:w="5387" w:type="dxa"/>
                  <w:gridSpan w:val="2"/>
                  <w:tcBorders>
                    <w:top w:val="nil"/>
                    <w:left w:val="nil"/>
                    <w:bottom w:val="nil"/>
                    <w:right w:val="nil"/>
                  </w:tcBorders>
                </w:tcPr>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 xml:space="preserve">Поліпшене фарбування </w:t>
                  </w:r>
                  <w:proofErr w:type="spellStart"/>
                  <w:r w:rsidRPr="00A4582E">
                    <w:rPr>
                      <w:rFonts w:ascii="Arial" w:hAnsi="Arial" w:cs="Arial"/>
                      <w:spacing w:val="-3"/>
                      <w:sz w:val="20"/>
                      <w:szCs w:val="20"/>
                      <w:lang w:eastAsia="uk-UA"/>
                    </w:rPr>
                    <w:t>полівінілацетатними</w:t>
                  </w:r>
                  <w:proofErr w:type="spellEnd"/>
                </w:p>
                <w:p w:rsidR="00251253" w:rsidRPr="00A4582E" w:rsidRDefault="00251253" w:rsidP="00251253">
                  <w:pPr>
                    <w:keepLines/>
                    <w:rPr>
                      <w:rFonts w:ascii="Arial" w:hAnsi="Arial" w:cs="Arial"/>
                      <w:spacing w:val="-3"/>
                      <w:sz w:val="20"/>
                      <w:szCs w:val="20"/>
                      <w:lang w:eastAsia="uk-UA"/>
                    </w:rPr>
                  </w:pPr>
                  <w:r w:rsidRPr="00A4582E">
                    <w:rPr>
                      <w:rFonts w:ascii="Arial" w:hAnsi="Arial" w:cs="Arial"/>
                      <w:spacing w:val="-3"/>
                      <w:sz w:val="20"/>
                      <w:szCs w:val="20"/>
                      <w:lang w:eastAsia="uk-UA"/>
                    </w:rPr>
                    <w:t xml:space="preserve">водоемульсійними сумішами стін по </w:t>
                  </w:r>
                  <w:r w:rsidRPr="00A4582E">
                    <w:rPr>
                      <w:rFonts w:ascii="Arial" w:hAnsi="Arial" w:cs="Arial"/>
                      <w:spacing w:val="-3"/>
                      <w:sz w:val="20"/>
                      <w:szCs w:val="20"/>
                      <w:lang w:eastAsia="uk-UA"/>
                    </w:rPr>
                    <w:lastRenderedPageBreak/>
                    <w:t>збірних</w:t>
                  </w:r>
                </w:p>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конструкціях, підготовлених під фарбування</w:t>
                  </w:r>
                </w:p>
              </w:tc>
              <w:tc>
                <w:tcPr>
                  <w:tcW w:w="1418" w:type="dxa"/>
                  <w:tcBorders>
                    <w:top w:val="nil"/>
                    <w:left w:val="single" w:sz="4" w:space="0" w:color="auto"/>
                    <w:bottom w:val="nil"/>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lastRenderedPageBreak/>
                    <w:t>м2</w:t>
                  </w:r>
                </w:p>
              </w:tc>
              <w:tc>
                <w:tcPr>
                  <w:tcW w:w="1418" w:type="dxa"/>
                  <w:tcBorders>
                    <w:top w:val="nil"/>
                    <w:left w:val="single" w:sz="4" w:space="0" w:color="auto"/>
                    <w:bottom w:val="nil"/>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520</w:t>
                  </w:r>
                </w:p>
              </w:tc>
              <w:tc>
                <w:tcPr>
                  <w:tcW w:w="1418" w:type="dxa"/>
                  <w:gridSpan w:val="2"/>
                  <w:tcBorders>
                    <w:top w:val="nil"/>
                    <w:left w:val="single" w:sz="4" w:space="0" w:color="auto"/>
                    <w:bottom w:val="nil"/>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lastRenderedPageBreak/>
                    <w:t>14</w:t>
                  </w:r>
                </w:p>
              </w:tc>
              <w:tc>
                <w:tcPr>
                  <w:tcW w:w="5387" w:type="dxa"/>
                  <w:gridSpan w:val="2"/>
                  <w:tcBorders>
                    <w:top w:val="nil"/>
                    <w:left w:val="nil"/>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Навантаження сміття вручну</w:t>
                  </w:r>
                </w:p>
              </w:tc>
              <w:tc>
                <w:tcPr>
                  <w:tcW w:w="1418" w:type="dxa"/>
                  <w:tcBorders>
                    <w:top w:val="nil"/>
                    <w:left w:val="single" w:sz="4" w:space="0" w:color="auto"/>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 xml:space="preserve"> т</w:t>
                  </w:r>
                </w:p>
              </w:tc>
              <w:tc>
                <w:tcPr>
                  <w:tcW w:w="1418" w:type="dxa"/>
                  <w:tcBorders>
                    <w:top w:val="nil"/>
                    <w:left w:val="single" w:sz="4" w:space="0" w:color="auto"/>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16,35</w:t>
                  </w:r>
                </w:p>
              </w:tc>
              <w:tc>
                <w:tcPr>
                  <w:tcW w:w="1418" w:type="dxa"/>
                  <w:gridSpan w:val="2"/>
                  <w:tcBorders>
                    <w:top w:val="nil"/>
                    <w:left w:val="single" w:sz="4" w:space="0" w:color="auto"/>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r w:rsidR="00251253" w:rsidRPr="00A4582E" w:rsidTr="007E0AC7">
              <w:trPr>
                <w:jc w:val="center"/>
              </w:trPr>
              <w:tc>
                <w:tcPr>
                  <w:tcW w:w="567" w:type="dxa"/>
                  <w:tcBorders>
                    <w:top w:val="nil"/>
                    <w:left w:val="single" w:sz="12" w:space="0" w:color="auto"/>
                    <w:bottom w:val="single" w:sz="4" w:space="0" w:color="auto"/>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15</w:t>
                  </w:r>
                </w:p>
              </w:tc>
              <w:tc>
                <w:tcPr>
                  <w:tcW w:w="5387" w:type="dxa"/>
                  <w:gridSpan w:val="2"/>
                  <w:tcBorders>
                    <w:top w:val="nil"/>
                    <w:left w:val="nil"/>
                    <w:bottom w:val="single" w:sz="4" w:space="0" w:color="auto"/>
                    <w:right w:val="nil"/>
                  </w:tcBorders>
                </w:tcPr>
                <w:p w:rsidR="00251253" w:rsidRPr="00A4582E" w:rsidRDefault="00251253" w:rsidP="00251253">
                  <w:pPr>
                    <w:keepLines/>
                    <w:rPr>
                      <w:rFonts w:ascii="Arial" w:hAnsi="Arial" w:cs="Arial"/>
                      <w:sz w:val="20"/>
                      <w:szCs w:val="20"/>
                      <w:lang w:val="ru-RU" w:eastAsia="uk-UA"/>
                    </w:rPr>
                  </w:pPr>
                  <w:r w:rsidRPr="00A4582E">
                    <w:rPr>
                      <w:rFonts w:ascii="Arial" w:hAnsi="Arial" w:cs="Arial"/>
                      <w:spacing w:val="-3"/>
                      <w:sz w:val="20"/>
                      <w:szCs w:val="20"/>
                      <w:lang w:eastAsia="uk-UA"/>
                    </w:rPr>
                    <w:t>Перевезення сміття до 15 км</w:t>
                  </w:r>
                </w:p>
              </w:tc>
              <w:tc>
                <w:tcPr>
                  <w:tcW w:w="1418" w:type="dxa"/>
                  <w:tcBorders>
                    <w:top w:val="nil"/>
                    <w:left w:val="single" w:sz="4" w:space="0" w:color="auto"/>
                    <w:bottom w:val="single" w:sz="4" w:space="0" w:color="auto"/>
                    <w:right w:val="nil"/>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т</w:t>
                  </w:r>
                </w:p>
              </w:tc>
              <w:tc>
                <w:tcPr>
                  <w:tcW w:w="1418" w:type="dxa"/>
                  <w:tcBorders>
                    <w:top w:val="nil"/>
                    <w:left w:val="single" w:sz="4" w:space="0" w:color="auto"/>
                    <w:bottom w:val="single" w:sz="4" w:space="0" w:color="auto"/>
                    <w:right w:val="single" w:sz="4" w:space="0" w:color="auto"/>
                  </w:tcBorders>
                </w:tcPr>
                <w:p w:rsidR="00251253" w:rsidRPr="00A4582E" w:rsidRDefault="00251253" w:rsidP="00251253">
                  <w:pPr>
                    <w:keepLines/>
                    <w:jc w:val="center"/>
                    <w:rPr>
                      <w:rFonts w:ascii="Arial" w:hAnsi="Arial" w:cs="Arial"/>
                      <w:sz w:val="20"/>
                      <w:szCs w:val="20"/>
                      <w:lang w:val="ru-RU" w:eastAsia="uk-UA"/>
                    </w:rPr>
                  </w:pPr>
                  <w:r w:rsidRPr="00A4582E">
                    <w:rPr>
                      <w:rFonts w:ascii="Arial" w:hAnsi="Arial" w:cs="Arial"/>
                      <w:spacing w:val="-3"/>
                      <w:sz w:val="20"/>
                      <w:szCs w:val="20"/>
                      <w:lang w:eastAsia="uk-UA"/>
                    </w:rPr>
                    <w:t>16,35</w:t>
                  </w:r>
                </w:p>
              </w:tc>
              <w:tc>
                <w:tcPr>
                  <w:tcW w:w="1418" w:type="dxa"/>
                  <w:gridSpan w:val="2"/>
                  <w:tcBorders>
                    <w:top w:val="nil"/>
                    <w:left w:val="single" w:sz="4" w:space="0" w:color="auto"/>
                    <w:bottom w:val="single" w:sz="4" w:space="0" w:color="auto"/>
                    <w:right w:val="single" w:sz="12" w:space="0" w:color="auto"/>
                  </w:tcBorders>
                </w:tcPr>
                <w:p w:rsidR="00251253" w:rsidRPr="00A4582E" w:rsidRDefault="00251253" w:rsidP="00251253">
                  <w:pPr>
                    <w:keepLines/>
                    <w:jc w:val="center"/>
                    <w:rPr>
                      <w:rFonts w:ascii="Arial" w:hAnsi="Arial" w:cs="Arial"/>
                      <w:sz w:val="16"/>
                      <w:szCs w:val="16"/>
                      <w:lang w:val="ru-RU" w:eastAsia="uk-UA"/>
                    </w:rPr>
                  </w:pPr>
                  <w:r w:rsidRPr="00A4582E">
                    <w:rPr>
                      <w:rFonts w:ascii="Arial" w:hAnsi="Arial" w:cs="Arial"/>
                      <w:sz w:val="16"/>
                      <w:szCs w:val="16"/>
                      <w:lang w:val="ru-RU" w:eastAsia="uk-UA"/>
                    </w:rPr>
                    <w:t xml:space="preserve"> </w:t>
                  </w:r>
                </w:p>
              </w:tc>
            </w:tr>
          </w:tbl>
          <w:p w:rsidR="00251253" w:rsidRPr="00251253" w:rsidRDefault="00251253" w:rsidP="00690E59">
            <w:pPr>
              <w:rPr>
                <w:rFonts w:ascii="Times New Roman" w:eastAsia="Times New Roman" w:hAnsi="Times New Roman" w:cs="Times New Roman"/>
                <w:sz w:val="24"/>
                <w:szCs w:val="24"/>
              </w:rPr>
            </w:pPr>
          </w:p>
        </w:tc>
      </w:tr>
    </w:tbl>
    <w:p w:rsidR="001560B3" w:rsidRPr="001560B3" w:rsidRDefault="001560B3" w:rsidP="001560B3">
      <w:pPr>
        <w:jc w:val="center"/>
        <w:rPr>
          <w:rFonts w:ascii="Times New Roman" w:eastAsia="Times New Roman" w:hAnsi="Times New Roman" w:cs="Times New Roman"/>
          <w:b/>
          <w:i/>
          <w:sz w:val="24"/>
          <w:szCs w:val="24"/>
        </w:rPr>
      </w:pPr>
    </w:p>
    <w:p w:rsidR="001560B3" w:rsidRPr="001560B3" w:rsidRDefault="001560B3" w:rsidP="001560B3">
      <w:pPr>
        <w:widowControl w:val="0"/>
        <w:autoSpaceDE w:val="0"/>
        <w:autoSpaceDN w:val="0"/>
        <w:spacing w:before="75" w:after="0" w:line="240" w:lineRule="auto"/>
        <w:ind w:left="7797" w:right="-1"/>
        <w:jc w:val="right"/>
        <w:outlineLvl w:val="0"/>
        <w:rPr>
          <w:rFonts w:ascii="Times New Roman" w:eastAsia="Times New Roman" w:hAnsi="Times New Roman" w:cs="Times New Roman"/>
          <w:b/>
          <w:bCs/>
          <w:sz w:val="20"/>
          <w:szCs w:val="20"/>
        </w:rPr>
      </w:pPr>
    </w:p>
    <w:p w:rsidR="001560B3" w:rsidRPr="001560B3" w:rsidRDefault="001560B3" w:rsidP="001560B3">
      <w:pPr>
        <w:jc w:val="center"/>
        <w:rPr>
          <w:b/>
        </w:rPr>
      </w:pPr>
    </w:p>
    <w:p w:rsidR="001560B3" w:rsidRPr="001560B3" w:rsidRDefault="001560B3"/>
    <w:sectPr w:rsidR="001560B3" w:rsidRPr="001560B3" w:rsidSect="00251253">
      <w:pgSz w:w="11906" w:h="16838"/>
      <w:pgMar w:top="426"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nsid w:val="0CC5152D"/>
    <w:multiLevelType w:val="multilevel"/>
    <w:tmpl w:val="5356A0B6"/>
    <w:lvl w:ilvl="0">
      <w:start w:val="4"/>
      <w:numFmt w:val="decimal"/>
      <w:lvlText w:val="%1."/>
      <w:lvlJc w:val="left"/>
      <w:pPr>
        <w:ind w:left="360" w:hanging="360"/>
      </w:pPr>
      <w:rPr>
        <w:rFonts w:hint="default"/>
        <w:b/>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4035B97"/>
    <w:multiLevelType w:val="hybridMultilevel"/>
    <w:tmpl w:val="FEA475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6C358AD"/>
    <w:multiLevelType w:val="multilevel"/>
    <w:tmpl w:val="662AF15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D5150C"/>
    <w:multiLevelType w:val="multilevel"/>
    <w:tmpl w:val="78607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3"/>
    <w:rsid w:val="00036070"/>
    <w:rsid w:val="001560B3"/>
    <w:rsid w:val="00251253"/>
    <w:rsid w:val="00304AE0"/>
    <w:rsid w:val="00582AC3"/>
    <w:rsid w:val="006467FC"/>
    <w:rsid w:val="00690E59"/>
    <w:rsid w:val="006A19A8"/>
    <w:rsid w:val="006D5086"/>
    <w:rsid w:val="00717393"/>
    <w:rsid w:val="00717B6D"/>
    <w:rsid w:val="008A23E3"/>
    <w:rsid w:val="00984BEE"/>
    <w:rsid w:val="00A360D1"/>
    <w:rsid w:val="00AF7C1D"/>
    <w:rsid w:val="00B0132D"/>
    <w:rsid w:val="00B9524F"/>
    <w:rsid w:val="00BA3423"/>
    <w:rsid w:val="00C83CD5"/>
    <w:rsid w:val="00CF6603"/>
    <w:rsid w:val="00F01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3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2023-10-25T05:00:00Z</dcterms:created>
  <dcterms:modified xsi:type="dcterms:W3CDTF">2023-03-31T22:05:00Z</dcterms:modified>
</cp:coreProperties>
</file>