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8E6E1F" w:rsidRPr="00A2336C">
        <w:rPr>
          <w:color w:val="000000" w:themeColor="text1"/>
        </w:rPr>
        <w:t>3</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w:t>
      </w:r>
      <w:r w:rsidR="003340C8" w:rsidRPr="005D4046">
        <w:rPr>
          <w:color w:val="000000" w:themeColor="text1"/>
          <w:lang w:val="uk-UA"/>
        </w:rPr>
        <w:t xml:space="preserve">особі </w:t>
      </w:r>
      <w:r w:rsidR="003340C8">
        <w:rPr>
          <w:color w:val="000000" w:themeColor="text1"/>
          <w:lang w:val="uk-UA"/>
        </w:rPr>
        <w:t>заступника директора з економічної роботи Овчар Світлани Борисівни</w:t>
      </w:r>
      <w:r w:rsidR="003340C8" w:rsidRPr="005D4046">
        <w:rPr>
          <w:color w:val="000000" w:themeColor="text1"/>
          <w:lang w:val="uk-UA"/>
        </w:rPr>
        <w:t xml:space="preserve">,  </w:t>
      </w:r>
      <w:r w:rsidR="003340C8">
        <w:rPr>
          <w:color w:val="000000" w:themeColor="text1"/>
          <w:lang w:val="uk-UA"/>
        </w:rPr>
        <w:t>що</w:t>
      </w:r>
      <w:r w:rsidR="003340C8" w:rsidRPr="005D4046">
        <w:rPr>
          <w:color w:val="000000" w:themeColor="text1"/>
          <w:lang w:val="uk-UA"/>
        </w:rPr>
        <w:t xml:space="preserve"> діє на підставі</w:t>
      </w:r>
      <w:r w:rsidR="003340C8">
        <w:rPr>
          <w:color w:val="000000" w:themeColor="text1"/>
          <w:lang w:val="uk-UA"/>
        </w:rPr>
        <w:t xml:space="preserve"> наказу КНП </w:t>
      </w:r>
      <w:r w:rsidR="003340C8" w:rsidRPr="005D4046">
        <w:rPr>
          <w:lang w:val="uk-UA"/>
        </w:rPr>
        <w:t>«Олександрівська клінічна лікарня м. Києва»</w:t>
      </w:r>
      <w:r w:rsidR="003340C8">
        <w:rPr>
          <w:lang w:val="uk-UA"/>
        </w:rPr>
        <w:t xml:space="preserve"> від 24.03.2023 №104-к</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3340C8" w:rsidRDefault="00457071" w:rsidP="00811479">
      <w:pPr>
        <w:jc w:val="both"/>
        <w:rPr>
          <w:color w:val="000000" w:themeColor="text1"/>
          <w:lang w:val="uk-UA"/>
        </w:rPr>
      </w:pPr>
      <w:r w:rsidRPr="003340C8">
        <w:rPr>
          <w:lang w:val="uk-UA"/>
        </w:rPr>
        <w:t>1</w:t>
      </w:r>
      <w:r w:rsidRPr="003340C8">
        <w:rPr>
          <w:noProof/>
          <w:lang w:val="uk-UA"/>
        </w:rPr>
        <w:t xml:space="preserve">.1. </w:t>
      </w:r>
      <w:r w:rsidR="003A56D3" w:rsidRPr="003340C8">
        <w:rPr>
          <w:noProof/>
          <w:lang w:val="uk-UA"/>
        </w:rPr>
        <w:t>Продавець</w:t>
      </w:r>
      <w:r w:rsidRPr="003340C8">
        <w:rPr>
          <w:noProof/>
          <w:lang w:val="uk-UA"/>
        </w:rPr>
        <w:t xml:space="preserve"> зобов’язується поставити</w:t>
      </w:r>
      <w:r w:rsidR="00B01B1D" w:rsidRPr="003340C8">
        <w:rPr>
          <w:color w:val="000000" w:themeColor="text1"/>
          <w:lang w:val="uk-UA"/>
        </w:rPr>
        <w:t xml:space="preserve"> </w:t>
      </w:r>
      <w:bookmarkStart w:id="0" w:name="_Toc86735312"/>
      <w:bookmarkStart w:id="1" w:name="_Toc89588198"/>
      <w:bookmarkStart w:id="2" w:name="_Toc190675057"/>
      <w:bookmarkStart w:id="3" w:name="_Toc191360589"/>
      <w:bookmarkStart w:id="4" w:name="_Toc273092487"/>
      <w:r w:rsidR="007E7EE9" w:rsidRPr="003340C8">
        <w:rPr>
          <w:color w:val="000000" w:themeColor="text1"/>
        </w:rPr>
        <w:t>код</w:t>
      </w:r>
      <w:r w:rsidR="003340C8" w:rsidRPr="003340C8">
        <w:t xml:space="preserve"> ДК 021:2015:</w:t>
      </w:r>
      <w:r w:rsidR="003340C8" w:rsidRPr="003340C8">
        <w:rPr>
          <w:rStyle w:val="apple-converted-space"/>
          <w:bCs/>
          <w:color w:val="000000" w:themeColor="text1"/>
        </w:rPr>
        <w:t> </w:t>
      </w:r>
      <w:r w:rsidR="003340C8" w:rsidRPr="003340C8">
        <w:rPr>
          <w:color w:val="000000" w:themeColor="text1"/>
        </w:rPr>
        <w:t>3115</w:t>
      </w:r>
      <w:r w:rsidR="003340C8" w:rsidRPr="003340C8">
        <w:rPr>
          <w:color w:val="000000" w:themeColor="text1"/>
          <w:shd w:val="clear" w:color="auto" w:fill="FDFEFD"/>
        </w:rPr>
        <w:t>0000-2</w:t>
      </w:r>
      <w:r w:rsidR="003340C8" w:rsidRPr="003340C8">
        <w:rPr>
          <w:bCs/>
          <w:color w:val="000000" w:themeColor="text1"/>
        </w:rPr>
        <w:t xml:space="preserve"> -</w:t>
      </w:r>
      <w:r w:rsidR="003340C8" w:rsidRPr="003340C8">
        <w:rPr>
          <w:color w:val="000000" w:themeColor="text1"/>
          <w:shd w:val="clear" w:color="auto" w:fill="FDFEFD"/>
        </w:rPr>
        <w:t xml:space="preserve"> </w:t>
      </w:r>
      <w:r w:rsidR="003340C8" w:rsidRPr="003340C8">
        <w:rPr>
          <w:color w:val="000000" w:themeColor="text1"/>
        </w:rPr>
        <w:t>Баласти для розрядних ламп чи трубок (д</w:t>
      </w:r>
      <w:r w:rsidR="003340C8" w:rsidRPr="003340C8">
        <w:rPr>
          <w:rStyle w:val="docdata"/>
        </w:rPr>
        <w:t>жерело</w:t>
      </w:r>
      <w:r w:rsidR="003340C8" w:rsidRPr="003340C8">
        <w:t xml:space="preserve"> безперебійного живлення)</w:t>
      </w:r>
      <w:bookmarkEnd w:id="0"/>
      <w:bookmarkEnd w:id="1"/>
      <w:bookmarkEnd w:id="2"/>
      <w:bookmarkEnd w:id="3"/>
      <w:bookmarkEnd w:id="4"/>
      <w:r w:rsidR="00773EFC" w:rsidRPr="003340C8">
        <w:rPr>
          <w:bCs/>
          <w:color w:val="000000" w:themeColor="text1"/>
          <w:lang w:val="uk-UA"/>
        </w:rPr>
        <w:t xml:space="preserve">, </w:t>
      </w:r>
      <w:r w:rsidRPr="003340C8">
        <w:rPr>
          <w:noProof/>
          <w:lang w:val="uk-UA"/>
        </w:rPr>
        <w:t>а  Покупець зобов’язується приймати і оплачувати Поставлений Товар на умовах даного Договору.</w:t>
      </w:r>
    </w:p>
    <w:p w:rsidR="00457071" w:rsidRPr="003340C8" w:rsidRDefault="00457071" w:rsidP="00773EFC">
      <w:pPr>
        <w:tabs>
          <w:tab w:val="left" w:pos="426"/>
        </w:tabs>
        <w:jc w:val="both"/>
        <w:rPr>
          <w:noProof/>
          <w:color w:val="000000" w:themeColor="text1"/>
          <w:lang w:val="uk-UA"/>
        </w:rPr>
      </w:pPr>
      <w:r w:rsidRPr="003340C8">
        <w:rPr>
          <w:noProof/>
          <w:color w:val="000000" w:themeColor="text1"/>
          <w:lang w:val="uk-UA"/>
        </w:rPr>
        <w:t>1.2.Найменування, номенклатура, кількість, ціна, загальна вартість постачаємого Товару зазначається в Специфікації (Додаток №1) до даного Договору, яка є невід’ємною частиною даного Договору.</w:t>
      </w:r>
    </w:p>
    <w:p w:rsidR="00457071" w:rsidRPr="003340C8" w:rsidRDefault="00457071" w:rsidP="00457071">
      <w:pPr>
        <w:tabs>
          <w:tab w:val="left" w:pos="426"/>
          <w:tab w:val="num" w:pos="1440"/>
        </w:tabs>
        <w:jc w:val="both"/>
        <w:rPr>
          <w:color w:val="000000" w:themeColor="text1"/>
          <w:lang w:val="uk-UA"/>
        </w:rPr>
      </w:pPr>
      <w:r w:rsidRPr="003340C8">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3340C8" w:rsidRDefault="00457071" w:rsidP="00457071">
      <w:pPr>
        <w:tabs>
          <w:tab w:val="left" w:pos="426"/>
          <w:tab w:val="num" w:pos="1440"/>
        </w:tabs>
        <w:jc w:val="both"/>
        <w:rPr>
          <w:color w:val="000000" w:themeColor="text1"/>
          <w:lang w:val="uk-UA"/>
        </w:rPr>
      </w:pPr>
      <w:r w:rsidRPr="003340C8">
        <w:rPr>
          <w:color w:val="000000" w:themeColor="text1"/>
          <w:lang w:val="uk-UA"/>
        </w:rPr>
        <w:t xml:space="preserve">1.4.Обсяги закупівлі Товару можуть бути зменшені залежно від </w:t>
      </w:r>
      <w:r w:rsidRPr="003340C8">
        <w:rPr>
          <w:color w:val="000000" w:themeColor="text1"/>
        </w:rPr>
        <w:t>фактичного обсягу видатків замовника</w:t>
      </w:r>
      <w:r w:rsidRPr="003340C8">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w:t>
      </w:r>
      <w:r w:rsidRPr="00B82A12">
        <w:rPr>
          <w:color w:val="000000" w:themeColor="text1"/>
        </w:rPr>
        <w:lastRenderedPageBreak/>
        <w:t xml:space="preserve">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8E6E1F" w:rsidRPr="008E6E1F">
        <w:rPr>
          <w:color w:val="000000" w:themeColor="text1"/>
        </w:rPr>
        <w:t>3</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8E6E1F" w:rsidRPr="008E6E1F">
        <w:rPr>
          <w:noProof/>
          <w:color w:val="000000" w:themeColor="text1"/>
        </w:rPr>
        <w:t>3</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3340C8" w:rsidRPr="005D4046" w:rsidRDefault="003340C8" w:rsidP="003340C8">
            <w:pPr>
              <w:pStyle w:val="21"/>
              <w:spacing w:after="0" w:line="240" w:lineRule="auto"/>
              <w:rPr>
                <w:b/>
                <w:color w:val="000000" w:themeColor="text1"/>
                <w:lang w:val="uk-UA"/>
              </w:rPr>
            </w:pPr>
            <w:r w:rsidRPr="005D4046">
              <w:rPr>
                <w:b/>
                <w:color w:val="000000" w:themeColor="text1"/>
                <w:lang w:val="uk-UA"/>
              </w:rPr>
              <w:t>Заступник директора</w:t>
            </w:r>
          </w:p>
          <w:p w:rsidR="003340C8" w:rsidRPr="005D4046" w:rsidRDefault="003340C8" w:rsidP="003340C8">
            <w:pPr>
              <w:pStyle w:val="21"/>
              <w:spacing w:after="0" w:line="240" w:lineRule="auto"/>
              <w:rPr>
                <w:b/>
                <w:color w:val="000000" w:themeColor="text1"/>
                <w:lang w:val="uk-UA"/>
              </w:rPr>
            </w:pPr>
            <w:r w:rsidRPr="005D4046">
              <w:rPr>
                <w:b/>
                <w:color w:val="000000" w:themeColor="text1"/>
                <w:lang w:val="uk-UA"/>
              </w:rPr>
              <w:t>з економічної роботи</w:t>
            </w:r>
          </w:p>
          <w:p w:rsidR="003340C8" w:rsidRPr="005D4046" w:rsidRDefault="003340C8" w:rsidP="003340C8">
            <w:pPr>
              <w:pStyle w:val="21"/>
              <w:spacing w:after="0" w:line="240" w:lineRule="auto"/>
              <w:rPr>
                <w:b/>
                <w:color w:val="000000" w:themeColor="text1"/>
              </w:rPr>
            </w:pPr>
          </w:p>
          <w:p w:rsidR="00457071" w:rsidRPr="00B82A12" w:rsidRDefault="003340C8" w:rsidP="003340C8">
            <w:pPr>
              <w:rPr>
                <w:bCs/>
                <w:color w:val="000000" w:themeColor="text1"/>
                <w:lang w:val="uk-UA"/>
              </w:rPr>
            </w:pPr>
            <w:r w:rsidRPr="005D4046">
              <w:rPr>
                <w:b/>
                <w:color w:val="000000" w:themeColor="text1"/>
              </w:rPr>
              <w:t xml:space="preserve">________________   </w:t>
            </w:r>
            <w:r w:rsidRPr="005D4046">
              <w:rPr>
                <w:b/>
                <w:color w:val="000000" w:themeColor="text1"/>
                <w:lang w:val="uk-UA"/>
              </w:rPr>
              <w:t>Світлана Овчар</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8E6E1F">
        <w:rPr>
          <w:rStyle w:val="af"/>
          <w:rFonts w:eastAsia="Courier New"/>
          <w:bCs/>
          <w:color w:val="000000" w:themeColor="text1"/>
          <w:u w:val="none"/>
          <w:lang w:val="en-US"/>
        </w:rPr>
        <w:t>3</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Default="00BA77A4" w:rsidP="00851505">
            <w:pPr>
              <w:jc w:val="center"/>
              <w:rPr>
                <w:lang w:val="uk-UA"/>
              </w:rPr>
            </w:pPr>
            <w:r>
              <w:rPr>
                <w:lang w:val="uk-UA"/>
              </w:rPr>
              <w:t>Країна походження</w:t>
            </w:r>
          </w:p>
          <w:p w:rsidR="009040AD" w:rsidRPr="00B82A12" w:rsidRDefault="009040AD" w:rsidP="00851505">
            <w:pPr>
              <w:jc w:val="center"/>
              <w:rPr>
                <w:bCs/>
                <w:color w:val="000000" w:themeColor="text1"/>
                <w:lang w:val="uk-UA"/>
              </w:rPr>
            </w:pPr>
            <w:r>
              <w:rPr>
                <w:lang w:val="uk-UA"/>
              </w:rPr>
              <w:t>товару</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0F7325">
        <w:tc>
          <w:tcPr>
            <w:tcW w:w="5074"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3340C8" w:rsidRPr="005D4046" w:rsidRDefault="003340C8" w:rsidP="003340C8">
            <w:pPr>
              <w:pStyle w:val="21"/>
              <w:spacing w:after="0" w:line="240" w:lineRule="auto"/>
              <w:rPr>
                <w:b/>
                <w:color w:val="000000" w:themeColor="text1"/>
                <w:lang w:val="uk-UA"/>
              </w:rPr>
            </w:pPr>
            <w:r w:rsidRPr="005D4046">
              <w:rPr>
                <w:b/>
                <w:color w:val="000000" w:themeColor="text1"/>
                <w:lang w:val="uk-UA"/>
              </w:rPr>
              <w:t>Заступник директора</w:t>
            </w:r>
          </w:p>
          <w:p w:rsidR="003340C8" w:rsidRPr="005D4046" w:rsidRDefault="003340C8" w:rsidP="003340C8">
            <w:pPr>
              <w:pStyle w:val="21"/>
              <w:spacing w:after="0" w:line="240" w:lineRule="auto"/>
              <w:rPr>
                <w:b/>
                <w:color w:val="000000" w:themeColor="text1"/>
                <w:lang w:val="uk-UA"/>
              </w:rPr>
            </w:pPr>
            <w:r w:rsidRPr="005D4046">
              <w:rPr>
                <w:b/>
                <w:color w:val="000000" w:themeColor="text1"/>
                <w:lang w:val="uk-UA"/>
              </w:rPr>
              <w:t>з економічної роботи</w:t>
            </w:r>
          </w:p>
          <w:p w:rsidR="003340C8" w:rsidRPr="005D4046" w:rsidRDefault="003340C8" w:rsidP="003340C8">
            <w:pPr>
              <w:pStyle w:val="21"/>
              <w:spacing w:after="0" w:line="240" w:lineRule="auto"/>
              <w:rPr>
                <w:b/>
                <w:color w:val="000000" w:themeColor="text1"/>
              </w:rPr>
            </w:pPr>
          </w:p>
          <w:p w:rsidR="00C81615" w:rsidRPr="00B82A12" w:rsidRDefault="003340C8" w:rsidP="003340C8">
            <w:pPr>
              <w:pStyle w:val="21"/>
              <w:spacing w:after="0" w:line="240" w:lineRule="auto"/>
              <w:rPr>
                <w:bCs/>
                <w:color w:val="000000" w:themeColor="text1"/>
                <w:lang w:val="uk-UA"/>
              </w:rPr>
            </w:pPr>
            <w:r w:rsidRPr="005D4046">
              <w:rPr>
                <w:b/>
                <w:color w:val="000000" w:themeColor="text1"/>
              </w:rPr>
              <w:t xml:space="preserve">________________   </w:t>
            </w:r>
            <w:r w:rsidRPr="005D4046">
              <w:rPr>
                <w:b/>
                <w:color w:val="000000" w:themeColor="text1"/>
                <w:lang w:val="uk-UA"/>
              </w:rPr>
              <w:t>Світлана Овчар</w:t>
            </w:r>
          </w:p>
        </w:tc>
        <w:tc>
          <w:tcPr>
            <w:tcW w:w="5063"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4FD" w:rsidRDefault="005274FD" w:rsidP="00AA7584">
      <w:r>
        <w:separator/>
      </w:r>
    </w:p>
  </w:endnote>
  <w:endnote w:type="continuationSeparator" w:id="1">
    <w:p w:rsidR="005274FD" w:rsidRDefault="005274FD"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4FD" w:rsidRDefault="005274FD" w:rsidP="00AA7584">
      <w:r>
        <w:separator/>
      </w:r>
    </w:p>
  </w:footnote>
  <w:footnote w:type="continuationSeparator" w:id="1">
    <w:p w:rsidR="005274FD" w:rsidRDefault="005274FD"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580E8E">
        <w:pPr>
          <w:pStyle w:val="a6"/>
          <w:jc w:val="center"/>
        </w:pPr>
        <w:fldSimple w:instr=" PAGE   \* MERGEFORMAT ">
          <w:r w:rsidR="003340C8">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56D1"/>
    <w:rsid w:val="001B7B5D"/>
    <w:rsid w:val="001C238E"/>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C88"/>
    <w:rsid w:val="00272570"/>
    <w:rsid w:val="00274086"/>
    <w:rsid w:val="00286EF5"/>
    <w:rsid w:val="002902CD"/>
    <w:rsid w:val="00294ABF"/>
    <w:rsid w:val="00295119"/>
    <w:rsid w:val="002A28FB"/>
    <w:rsid w:val="002B21A6"/>
    <w:rsid w:val="002C4BAD"/>
    <w:rsid w:val="002D4C6A"/>
    <w:rsid w:val="002D5DBF"/>
    <w:rsid w:val="002E15FA"/>
    <w:rsid w:val="002F1DD0"/>
    <w:rsid w:val="003064D1"/>
    <w:rsid w:val="00312ABB"/>
    <w:rsid w:val="0031332B"/>
    <w:rsid w:val="003206C5"/>
    <w:rsid w:val="00322F28"/>
    <w:rsid w:val="00330F2D"/>
    <w:rsid w:val="00333BDC"/>
    <w:rsid w:val="00333ECF"/>
    <w:rsid w:val="003340C8"/>
    <w:rsid w:val="00335D54"/>
    <w:rsid w:val="00336F3D"/>
    <w:rsid w:val="00340E75"/>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D56C2"/>
    <w:rsid w:val="004F606E"/>
    <w:rsid w:val="004F78F3"/>
    <w:rsid w:val="0050187B"/>
    <w:rsid w:val="00501B3F"/>
    <w:rsid w:val="00503DB1"/>
    <w:rsid w:val="005042F0"/>
    <w:rsid w:val="00507C43"/>
    <w:rsid w:val="00511C3E"/>
    <w:rsid w:val="0051552D"/>
    <w:rsid w:val="00522038"/>
    <w:rsid w:val="0052465C"/>
    <w:rsid w:val="005274FD"/>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0E8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41A4"/>
    <w:rsid w:val="0062370A"/>
    <w:rsid w:val="00623E12"/>
    <w:rsid w:val="00624226"/>
    <w:rsid w:val="0062549B"/>
    <w:rsid w:val="00626D7E"/>
    <w:rsid w:val="00633CFC"/>
    <w:rsid w:val="00637C29"/>
    <w:rsid w:val="006414FC"/>
    <w:rsid w:val="00641CE2"/>
    <w:rsid w:val="006425D1"/>
    <w:rsid w:val="006464B0"/>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2559F"/>
    <w:rsid w:val="008303E9"/>
    <w:rsid w:val="00831225"/>
    <w:rsid w:val="008318B3"/>
    <w:rsid w:val="008337E0"/>
    <w:rsid w:val="00836220"/>
    <w:rsid w:val="00836E05"/>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D2607"/>
    <w:rsid w:val="008E6E1F"/>
    <w:rsid w:val="008F16FB"/>
    <w:rsid w:val="008F2F44"/>
    <w:rsid w:val="008F6F71"/>
    <w:rsid w:val="008F7254"/>
    <w:rsid w:val="008F77C9"/>
    <w:rsid w:val="009040AD"/>
    <w:rsid w:val="009259AB"/>
    <w:rsid w:val="00927583"/>
    <w:rsid w:val="0093344A"/>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4DFC"/>
    <w:rsid w:val="00B004FC"/>
    <w:rsid w:val="00B0166A"/>
    <w:rsid w:val="00B01B1D"/>
    <w:rsid w:val="00B05DA4"/>
    <w:rsid w:val="00B114CD"/>
    <w:rsid w:val="00B174D9"/>
    <w:rsid w:val="00B34FB8"/>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 w:type="character" w:customStyle="1" w:styleId="docdata">
    <w:name w:val="docdata"/>
    <w:aliases w:val="docy,v5,1741,baiaagaaboqcaaadbguaaauubqaaaaaaaaaaaaaaaaaaaaaaaaaaaaaaaaaaaaaaaaaaaaaaaaaaaaaaaaaaaaaaaaaaaaaaaaaaaaaaaaaaaaaaaaaaaaaaaaaaaaaaaaaaaaaaaaaaaaaaaaaaaaaaaaaaaaaaaaaaaaaaaaaaaaaaaaaaaaaaaaaaaaaaaaaaaaaaaaaaaaaaaaaaaaaaaaaaaaaaaaaaaaaa"/>
    <w:basedOn w:val="a0"/>
    <w:rsid w:val="003340C8"/>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1935</Words>
  <Characters>11035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cp:revision>
  <cp:lastPrinted>2017-11-02T10:11:00Z</cp:lastPrinted>
  <dcterms:created xsi:type="dcterms:W3CDTF">2020-05-27T08:04:00Z</dcterms:created>
  <dcterms:modified xsi:type="dcterms:W3CDTF">2023-05-16T09:36:00Z</dcterms:modified>
</cp:coreProperties>
</file>