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ДОГОВІР ПРО ЗАКУПІВЛЮ №___</w:t>
      </w:r>
    </w:p>
    <w:p w:rsidR="00EE3FB0" w:rsidRPr="00EE3FB0" w:rsidRDefault="00EE3FB0" w:rsidP="00EE3FB0">
      <w:pPr>
        <w:spacing w:before="120" w:after="120"/>
        <w:jc w:val="both"/>
        <w:rPr>
          <w:rFonts w:ascii="Times New Roman" w:hAnsi="Times New Roman" w:cs="Times New Roman"/>
          <w:sz w:val="20"/>
          <w:szCs w:val="20"/>
        </w:rPr>
      </w:pPr>
      <w:r w:rsidRPr="00EE3FB0">
        <w:rPr>
          <w:rFonts w:ascii="Times New Roman" w:hAnsi="Times New Roman" w:cs="Times New Roman"/>
          <w:sz w:val="20"/>
          <w:szCs w:val="20"/>
        </w:rPr>
        <w:t>м. Болград</w:t>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t>«____» ___________ 2024</w:t>
      </w:r>
      <w:r w:rsidRPr="00EE3FB0">
        <w:rPr>
          <w:rFonts w:ascii="Times New Roman" w:hAnsi="Times New Roman" w:cs="Times New Roman"/>
          <w:sz w:val="20"/>
          <w:szCs w:val="20"/>
        </w:rPr>
        <w:t xml:space="preserve"> року</w:t>
      </w:r>
    </w:p>
    <w:p w:rsidR="00EE3FB0" w:rsidRDefault="00EE3FB0" w:rsidP="00EE3FB0">
      <w:pPr>
        <w:spacing w:after="0"/>
        <w:jc w:val="both"/>
        <w:rPr>
          <w:rFonts w:ascii="Times New Roman" w:hAnsi="Times New Roman" w:cs="Times New Roman"/>
          <w:b/>
          <w:sz w:val="20"/>
          <w:szCs w:val="20"/>
        </w:rPr>
      </w:pP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b/>
          <w:sz w:val="20"/>
          <w:szCs w:val="20"/>
        </w:rPr>
        <w:t>Постачальник</w:t>
      </w:r>
      <w:r w:rsidRPr="00EE3FB0">
        <w:rPr>
          <w:rFonts w:ascii="Times New Roman" w:hAnsi="Times New Roman" w:cs="Times New Roman"/>
          <w:sz w:val="20"/>
          <w:szCs w:val="20"/>
        </w:rPr>
        <w:t>: _____________________________________________________________________________ в особі</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________________________________________________________________________________________________,</w:t>
      </w:r>
    </w:p>
    <w:p w:rsidR="00EE3FB0" w:rsidRPr="00EE3FB0" w:rsidRDefault="00EE3FB0" w:rsidP="00EE3FB0">
      <w:pPr>
        <w:jc w:val="both"/>
        <w:rPr>
          <w:rFonts w:ascii="Times New Roman" w:hAnsi="Times New Roman" w:cs="Times New Roman"/>
          <w:sz w:val="20"/>
          <w:szCs w:val="20"/>
        </w:rPr>
      </w:pPr>
      <w:r>
        <w:rPr>
          <w:rFonts w:ascii="Times New Roman" w:hAnsi="Times New Roman" w:cs="Times New Roman"/>
          <w:sz w:val="20"/>
          <w:szCs w:val="20"/>
        </w:rPr>
        <w:t>який діє на підставі___________</w:t>
      </w:r>
      <w:r w:rsidRPr="00EE3FB0">
        <w:rPr>
          <w:rFonts w:ascii="Times New Roman" w:hAnsi="Times New Roman" w:cs="Times New Roman"/>
          <w:sz w:val="20"/>
          <w:szCs w:val="20"/>
        </w:rPr>
        <w:t>_____________________________________________________, з однієї сторони, та</w:t>
      </w:r>
    </w:p>
    <w:p w:rsidR="00EE3FB0" w:rsidRPr="00EE3FB0" w:rsidRDefault="00B53CD2" w:rsidP="00EE3FB0">
      <w:pPr>
        <w:spacing w:after="120"/>
        <w:jc w:val="both"/>
        <w:rPr>
          <w:rFonts w:ascii="Times New Roman" w:hAnsi="Times New Roman" w:cs="Times New Roman"/>
          <w:sz w:val="20"/>
          <w:szCs w:val="20"/>
        </w:rPr>
      </w:pPr>
      <w:r>
        <w:rPr>
          <w:rFonts w:ascii="Times New Roman" w:hAnsi="Times New Roman" w:cs="Times New Roman"/>
          <w:b/>
          <w:sz w:val="20"/>
          <w:szCs w:val="20"/>
        </w:rPr>
        <w:t>Замовник</w:t>
      </w:r>
      <w:r w:rsidR="00EE3FB0" w:rsidRPr="00EE3FB0">
        <w:rPr>
          <w:rFonts w:ascii="Times New Roman" w:hAnsi="Times New Roman" w:cs="Times New Roman"/>
          <w:b/>
          <w:sz w:val="20"/>
          <w:szCs w:val="20"/>
        </w:rPr>
        <w:t>: Комунальне некомерційне підприємство «Болградська центральна районна лікарня»</w:t>
      </w:r>
      <w:r w:rsidR="00EE3FB0" w:rsidRPr="00EE3FB0">
        <w:rPr>
          <w:rFonts w:ascii="Times New Roman" w:hAnsi="Times New Roman" w:cs="Times New Roman"/>
          <w:sz w:val="20"/>
          <w:szCs w:val="20"/>
        </w:rPr>
        <w:t xml:space="preserve"> Болградської міської ради Одеської області, в особі генерального директора </w:t>
      </w:r>
      <w:r w:rsidR="00EE3FB0" w:rsidRPr="00EE3FB0">
        <w:rPr>
          <w:rFonts w:ascii="Times New Roman" w:hAnsi="Times New Roman" w:cs="Times New Roman"/>
          <w:b/>
          <w:sz w:val="20"/>
          <w:szCs w:val="20"/>
        </w:rPr>
        <w:t>Дішлі Віктора Васильовича</w:t>
      </w:r>
      <w:r w:rsidR="00EE3FB0" w:rsidRPr="00EE3FB0">
        <w:rPr>
          <w:rFonts w:ascii="Times New Roman" w:hAnsi="Times New Roman" w:cs="Times New Roman"/>
          <w:sz w:val="20"/>
          <w:szCs w:val="20"/>
        </w:rPr>
        <w:t xml:space="preserve">, який діє на підставі Статуту, з іншої сторони, які далі по тексту спільно звуться Сторони, а кожна окремо Сторона, уклали цей Договір про наступне: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1. ПРЕДМЕТ ДОГОВОРУ</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 ПОСТАЧАЛЬНИК бере на себе зобов’язання поставити ЗАМОВНИКУ фармацевтичну продукцію (ДК 021:2015 ― 33600000-6 Фармацевтична продукція), визначену п. 1.2. Договору, а ЗАМОВНИК ― прийняти таку продукцію та оплатити її в порядку та на умовах, визначених цим Договором.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1.2. Предметом цього Договору є продукція, асортимент, ціна та кількість якої вказується в Специфікації (Додаток №1), що є невід’ємною частиною цього Договору (далі за текстом ― продукція).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2. ЦІНА ДОГОВОРУ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2.1. Валютою цього Договору є національна валюта України – гривня. Загальна ціна продукції складає __________ грн (__________ гривень __ копійок), у тому числі ПДВ ― __________ грн (__________ гривень __ копійок). Ціна за одиницю продукції вказується у Специфікації (Додаток №1), що є невід’ємною частиною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3. ПОРЯДОК ОПЛАТИ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 упаковки.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3.2. Загальна ціна продукції, зазначена у п. 2.1 цього Договору, не може бути збільшена, крім випадків, передбачених законодавством у сфері публічних закупівель. </w:t>
      </w:r>
    </w:p>
    <w:p w:rsidR="00EE3FB0" w:rsidRPr="00EE3FB0" w:rsidRDefault="00EE3FB0" w:rsidP="007F166A">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У ціну продукції включені всі витрати ПОСТАЧАЛЬНИКА, які він може понести у зв’язку із виконанням ним обов’язків за цим Договором.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EE3FB0" w:rsidRPr="00EE3FB0" w:rsidRDefault="00EE3FB0" w:rsidP="007F166A">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3.5. Оплата за партію поставленої Продукції за цим Договором здійснюється протягом 14 (чотирнадцяти) робочих днів з моменту підписання відповідної видаткової накладної та/або Акта приймання продукції за місцем призначення, визначеним п. 4.2 цього Договору, за умов відсутності будь-яких зауважень до продукції з боку ЗАМОВНИКА.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Датою оплати є дата списання грошових коштів з рахунку ЗАМОВНИКА. </w:t>
      </w:r>
    </w:p>
    <w:p w:rsidR="00EE3FB0" w:rsidRPr="00EE3FB0" w:rsidRDefault="00EE3FB0" w:rsidP="007F166A">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3.6.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lastRenderedPageBreak/>
        <w:t>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14 (чотирнадцяти) робочих днів.</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3.7. ЗАМОВНИКОМ може здійснюватися попередня оплата з урахуванням положень бюджетного законодавства та нормативно-правових актів, що регулюють питання здійснення попередньої оплати.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4. УМОВИ ПОСТАВКИ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4.1. Поставка продукції здійснюється за адресою: Одеська обл., м. Болград, вул. Ізмаїльська, 71, 75.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4.2.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згідно з Розділом 6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4.3. Усі витрати, пов’язані із транспортуванням (включаючи завантаження та розвантаження продукції), доставкою продукції до місця зберігання на складі ЗАМОВНИКА здійснюється за рахунок ПОСТАЧАЛЬНИКА.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4.5. ПОСТАЧАЛЬНИК зобов’язаний здійснити поставку продукції з</w:t>
      </w:r>
      <w:r w:rsidR="006B43C3">
        <w:rPr>
          <w:rFonts w:ascii="Times New Roman" w:hAnsi="Times New Roman" w:cs="Times New Roman"/>
          <w:sz w:val="20"/>
          <w:szCs w:val="20"/>
        </w:rPr>
        <w:t xml:space="preserve">а цим Договором у строк до </w:t>
      </w:r>
      <w:r w:rsidR="00B53CD2">
        <w:rPr>
          <w:rFonts w:ascii="Times New Roman" w:hAnsi="Times New Roman" w:cs="Times New Roman"/>
          <w:sz w:val="20"/>
          <w:szCs w:val="20"/>
        </w:rPr>
        <w:t>29</w:t>
      </w:r>
      <w:r w:rsidR="006B43C3">
        <w:rPr>
          <w:rFonts w:ascii="Times New Roman" w:hAnsi="Times New Roman" w:cs="Times New Roman"/>
          <w:sz w:val="20"/>
          <w:szCs w:val="20"/>
        </w:rPr>
        <w:t>.0</w:t>
      </w:r>
      <w:r w:rsidR="00B53CD2">
        <w:rPr>
          <w:rFonts w:ascii="Times New Roman" w:hAnsi="Times New Roman" w:cs="Times New Roman"/>
          <w:sz w:val="20"/>
          <w:szCs w:val="20"/>
        </w:rPr>
        <w:t>2</w:t>
      </w:r>
      <w:r w:rsidRPr="00EE3FB0">
        <w:rPr>
          <w:rFonts w:ascii="Times New Roman" w:hAnsi="Times New Roman" w:cs="Times New Roman"/>
          <w:sz w:val="20"/>
          <w:szCs w:val="20"/>
        </w:rPr>
        <w:t>.202</w:t>
      </w:r>
      <w:r w:rsidR="00B53CD2">
        <w:rPr>
          <w:rFonts w:ascii="Times New Roman" w:hAnsi="Times New Roman" w:cs="Times New Roman"/>
          <w:sz w:val="20"/>
          <w:szCs w:val="20"/>
        </w:rPr>
        <w:t>4</w:t>
      </w:r>
      <w:r w:rsidRPr="00EE3FB0">
        <w:rPr>
          <w:rFonts w:ascii="Times New Roman" w:hAnsi="Times New Roman" w:cs="Times New Roman"/>
          <w:sz w:val="20"/>
          <w:szCs w:val="20"/>
        </w:rPr>
        <w:t xml:space="preserve"> року включно.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4.5.1. Вказаний у пункті 4.5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закупівель, але у будь якому випадку ― за взаємною згодою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4.6. Поставка продукції здійснюється відповідно до наданого ПОСТАЧАЛЬНИКОМ та підтвердженого ЗАМОВНИКОМ повідомлення про поставку, складеного ПОСТАЧАЛЬНИКОМ.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4.7. У повідомленні про поставку обов’язково повинно бути вказано: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ЗАМОВНИКА та ПОСТАЧАЛЬНИКА, реквізити договору (номер та дата),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міжнародну непатентовану назву, найменування (торгова назва) та кількість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форму випуску, дозування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виробника продукції, країну виробництва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дату виробництва продукції, термін придатності продукції у форматі дд.мм.рррр., дату поставки.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4.8. Повідомлення про поставку подається ПОСТАЧАЛЬНИКОМ ЗАМОВНИКУ засобами електронної пошти у порядку, визначеному цим Договором, не менш ніж за 3 (три) календарних дня до дати поставки, але у межах строку, визначеного у п. 4.5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4.9. ПОСТАЧАЛЬНИК зобов’язаний здійснити поставку продукції не пізніше дати поставки, вказаної ним у повідомленні про поставку, але у межах строку, визначеного у п. 4.5 цього Договору. За мотивованим зверненням Сторін дата поставки, вказана ПОСТАЧАЛЬНИКОМ у повідомленні про поставку, може бути змінена за взаємною згодою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4.10. Протягом 2 (двох) робочих днів після отримання повідомлення про поставку ЗАМОВНИК підтверджує ПОСТАЧАЛЬНИКУ свою готовність прийняти поставку або надає свої зауваження. Таке підтвердження разом із зазначенням адреси пункту призначення (складу ЗАМОВНИКА) або зауваження направляються ПОСТАЧАЛЬНИКУ засобами електронної пошти у порядку, визначеному цим Договором. Без отримання від ЗАМОВНИКА підтвердження про готовність прийняти поставку ПОСТАЧАЛЬНИК не має права відправляти продукцію. </w:t>
      </w:r>
    </w:p>
    <w:p w:rsidR="00EE3FB0" w:rsidRPr="00EE3FB0" w:rsidRDefault="00E96C4C" w:rsidP="00EE3FB0">
      <w:pPr>
        <w:spacing w:after="120"/>
        <w:jc w:val="both"/>
        <w:rPr>
          <w:rFonts w:ascii="Times New Roman" w:hAnsi="Times New Roman" w:cs="Times New Roman"/>
          <w:sz w:val="20"/>
          <w:szCs w:val="20"/>
        </w:rPr>
      </w:pPr>
      <w:r>
        <w:rPr>
          <w:rFonts w:ascii="Times New Roman" w:hAnsi="Times New Roman" w:cs="Times New Roman"/>
          <w:sz w:val="20"/>
          <w:szCs w:val="20"/>
        </w:rPr>
        <w:t>4.11</w:t>
      </w:r>
      <w:r w:rsidR="00EE3FB0" w:rsidRPr="00EE3FB0">
        <w:rPr>
          <w:rFonts w:ascii="Times New Roman" w:hAnsi="Times New Roman" w:cs="Times New Roman"/>
          <w:sz w:val="20"/>
          <w:szCs w:val="20"/>
        </w:rPr>
        <w:t xml:space="preserve">. ПОСТАЧАЛЬНИК, не менше ніж за 1 (один) робочий день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у разі, якщо сертифікат якості (сертифікат аналізу) серії продукції не містить інформацію щодо термінів придатності продукції у форматі: дд.мм.рррр. ― роз’яснення виробника продукції із зазначенням дати виготовлення продукції та терміну придатності продукції у форматі: дд.мм.рррр.;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пакувальний лист, що описує вміст кожної коробки;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сертифікат походження від виробника, який охоплює всі одиниці продукції, що постачається (за наявності);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реєстраційне посвідчення, яке видається Міністерством охорони здоров’я України для кожного виду продукції, що постачається;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інструкцію для медичного застосування продукції, затверджену Міністерством охорони здоров’я України;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макет упаковки кожної одиниці продукції, що постачається, у форматі PDF. </w:t>
      </w:r>
    </w:p>
    <w:p w:rsidR="00EE3FB0" w:rsidRPr="00EE3FB0" w:rsidRDefault="00EE3FB0" w:rsidP="00EE3FB0">
      <w:pPr>
        <w:jc w:val="both"/>
        <w:rPr>
          <w:rFonts w:ascii="Times New Roman" w:hAnsi="Times New Roman" w:cs="Times New Roman"/>
          <w:sz w:val="20"/>
          <w:szCs w:val="20"/>
        </w:rPr>
      </w:pPr>
      <w:r w:rsidRPr="00EE3FB0">
        <w:rPr>
          <w:rFonts w:ascii="Times New Roman" w:hAnsi="Times New Roman" w:cs="Times New Roman"/>
          <w:sz w:val="20"/>
          <w:szCs w:val="20"/>
        </w:rPr>
        <w:t>4.1</w:t>
      </w:r>
      <w:r w:rsidR="00E96C4C">
        <w:rPr>
          <w:rFonts w:ascii="Times New Roman" w:hAnsi="Times New Roman" w:cs="Times New Roman"/>
          <w:sz w:val="20"/>
          <w:szCs w:val="20"/>
        </w:rPr>
        <w:t>2</w:t>
      </w:r>
      <w:r w:rsidRPr="00EE3FB0">
        <w:rPr>
          <w:rFonts w:ascii="Times New Roman" w:hAnsi="Times New Roman" w:cs="Times New Roman"/>
          <w:sz w:val="20"/>
          <w:szCs w:val="20"/>
        </w:rPr>
        <w:t>. Протягом 1 (одного) робочого дня після отримання документів, зазначених у п. 4.1</w:t>
      </w:r>
      <w:r w:rsidR="00E96C4C">
        <w:rPr>
          <w:rFonts w:ascii="Times New Roman" w:hAnsi="Times New Roman" w:cs="Times New Roman"/>
          <w:sz w:val="20"/>
          <w:szCs w:val="20"/>
        </w:rPr>
        <w:t>1</w:t>
      </w:r>
      <w:r w:rsidRPr="00EE3FB0">
        <w:rPr>
          <w:rFonts w:ascii="Times New Roman" w:hAnsi="Times New Roman" w:cs="Times New Roman"/>
          <w:sz w:val="20"/>
          <w:szCs w:val="20"/>
        </w:rPr>
        <w:t xml:space="preserve">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5. ЯКІСТЬ ТА ГАРАНТІЇ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додатковим вимогам, зазначеним у Специфікації;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будь-яким іншим вимогам до якості продукції, які містяться у цьому Договорі та відповідному повідомленні про поставку.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5.2. Термін придатності продукції на момент поставки повинен становити не менше 75% терміну, визначеного виробником, або не менш як 12 (дванадцять) місяців.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5.3. Продукцією неналежної якості вважається продукція, яка: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4.4 цього Договору;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була вилучена з обігу з будь-яких підстав з ініціативи виробника, в тому числі, відкликана з ринку;</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не відповідає вимогам, встановленим п.п. 5.1, 5.2 цього Договору;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не відповідає вимогам щодо пакування та маркування продукції, передбаченим цим Договором;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складено негативний висновок за результатами проходження вхідного контролю якості, передбаченого п. 6.4 цього Договору;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має недоліки (прихований брак, пересортиця, фальсифікат, невідповідний термін придатності, інші дефекти чи невідповідності), що виявлені в межах одного року з дати поставки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не відповідає будь-яким іншим вимогам до якості продукції, які містяться у цьому Договорі.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пересортиці за участю обох Сторін цього Договору або про розгляд причин невідповідності без участі представника ПОСТАЧАЛЬНИКА.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5.6.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6. ПОРЯДОК ПОСТАВКИ ТА ПРИЙМАННЯ-ПЕРЕДАЧІ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6.2. Приймання продукції здійснюється у відповідності до інструкцій та нормативних документів щодо приймання даного виду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На зовнішньому транспортному пакуванні продукції повинно бути нанесено незмивною фарбою або в будь-який інший спосіб, стійкий до механічних пошкоджень, стирання та змивання: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ПОСТАЧАЛЬНИКА,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ЗАМОВНИКА,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номер договору,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місце призначення (доставки),</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номер пакувальної одиниці та їх загальна кількість,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розміри пакувальної одиниці,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вага пакувальної одиниці ("брутто" та "нетто"),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вказівки по транспортуванню та завантаженню-розвантаженню (у тому числі у вигляді символів, прийнятих на міжнародному рівні),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інформацію щодо проведеної дезінфекції тари,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умови зберігання (у тому числі у вигляді символів, прийнятих на міжнародному рівні),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торговельну назву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назву виробника,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номер партії (серії).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 Приймання продукції здійснюється після перевірки ЗАМОВНИКОМ особисто та/або із залученням третьої особи продукції на відповідність технічним вимогам до даного виду продукції та вимогам нормативної документації, та проведення ЗАМОВНИКОМ особисто та/або із залученням третьої особи вхідного контролю якості продукції, у т.ч.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Вхідний контроль якості проводиться упродовж 10 (десяти) робочих днів.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тощо).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акта,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акта, подання претензії здійснюється ЗАМОВНИКОМ без присутності представника ПОСТАЧАЛЬНИКА.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6.4.5. Забезпечення проведення вхідного контролю якості покладається на ЗАМОВНИКА. </w:t>
      </w:r>
    </w:p>
    <w:p w:rsidR="00EE3FB0" w:rsidRPr="00EE3FB0" w:rsidRDefault="00E96C4C" w:rsidP="00EE3FB0">
      <w:pPr>
        <w:spacing w:after="120"/>
        <w:jc w:val="both"/>
        <w:rPr>
          <w:rFonts w:ascii="Times New Roman" w:hAnsi="Times New Roman" w:cs="Times New Roman"/>
          <w:sz w:val="20"/>
          <w:szCs w:val="20"/>
        </w:rPr>
      </w:pPr>
      <w:r>
        <w:rPr>
          <w:rFonts w:ascii="Times New Roman" w:hAnsi="Times New Roman" w:cs="Times New Roman"/>
          <w:sz w:val="20"/>
          <w:szCs w:val="20"/>
        </w:rPr>
        <w:t>6.4.6</w:t>
      </w:r>
      <w:r w:rsidR="00EE3FB0" w:rsidRPr="00EE3FB0">
        <w:rPr>
          <w:rFonts w:ascii="Times New Roman" w:hAnsi="Times New Roman" w:cs="Times New Roman"/>
          <w:sz w:val="20"/>
          <w:szCs w:val="20"/>
        </w:rPr>
        <w:t xml:space="preserve">.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(у разі його проведення за наявності підстав).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6.5. У випадку відмови ЗАМОВНИКА прийняти продукцію з підстав невідповідності вимогам та положенням, визначеним п.п. 6.1, 6.3 (у т.ч. підпунктами цього пункту), 6.4 (у т.ч.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6.6. Разом з продукцією ПОСТАЧАЛЬНИК надає ЗАМОВНИКУ (його представнику) наступні документи: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оригінал видаткової накладної та/або Акта приймання продукції у 2 (двох) екз., що викладений українською мовою, який містить опис продукції (номенклатуру), дані про її кількість з вказанням одиниці виміру, ціну за одиницю продукції у гривні, загальну суму у гривні, назву виробника, зазначення країни виробництва (пакування, фасування, фрахтування, відправлення), відомості про особу;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оригінал пакувального листа, що описує вміст кожної коробки;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оригінал свідоцтва про походження від виробника, яке охоплює всі одиниці продукції, що постачається;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завірені належним чином копії чинних сертифікатів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копії реєстраційних посвідчень, які видаються Міністерством охорони здоров’я України для кожного виду продукції, що постачається;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завірену належним чином копію інструкції для медичного застосування продукції, затверджену Міністерством охорони здоров’я України;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усі інші документи, які згадуються у будь-якому пункті цього Договору.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7. ВІДПОВІДАЛЬНІСТЬ СТОРІН ЗА ПОРУШЕННЯ УМОВ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7.2. У разі порушення строку поставки, непередачу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7.3. У разі порушення строків поставки, непередачі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непередачею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7.4.1. У випадках, передбачених п.п. 7.1, 7.2, 7.3 (у т.ч. 7.3.1), 7.4 цього Договору, ЗАМОВНИК може зменшити суму оплат ПОСТАЧАЛЬНИКУ на суму пені та/або штрафу.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8. ВИРІШЕННЯ СПОРІВ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8.1. Усі спори, що виникають з цього Договору або пов'язані із ним, вирішуються шляхом переговорів між Сторонами.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9. ОБСТАВИНИ НЕПЕРЕБОРНОЇ СИЛИ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9.6. Враховуючи, що цей Договір укладено у період дії в Україні воєнного стану відповідно до Указу Президента України від 24.02.2022 №64 (зі змінами),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10. АНТИКОРУПЦІЙНІ ЗАСТЕРЕЖЕННЯ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w:t>
      </w:r>
      <w:r w:rsidR="00B53CD2">
        <w:rPr>
          <w:rFonts w:ascii="Times New Roman" w:hAnsi="Times New Roman" w:cs="Times New Roman"/>
          <w:sz w:val="20"/>
          <w:szCs w:val="20"/>
        </w:rPr>
        <w:t xml:space="preserve"> </w:t>
      </w:r>
      <w:r w:rsidRPr="00EE3FB0">
        <w:rPr>
          <w:rFonts w:ascii="Times New Roman" w:hAnsi="Times New Roman" w:cs="Times New Roman"/>
          <w:sz w:val="20"/>
          <w:szCs w:val="20"/>
        </w:rPr>
        <w:t xml:space="preserve">у письмовій формі.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Під діями працівника, що здійснюються на користь стимулюючої Сторони, розуміються: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надання невиправданих переваг у порівнянні з іншими сторонами; надання будь-яких гарантій;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прискорення існуючих процедур;</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інші дії, що виконуються працівником у рамках посадових обов’язків, але суперечать принципам прозорості та відкритості взаємин між Сторонами.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10.7.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11. ПОРЯДОК ЗДІЙСНЕННЯ ПОВІДОМЛЕННЯ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11.2 цього Договору, та/або шляхом надсилання електронного повідомлення засобами електронної пошти, на адреси, вказані в у п. 11.3 цього Договору. Всі інші повідомлення в межах цього Договору здійснюються в письмовій формі шляхом передачі поштовим зв’язком (рекомендованим листом).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від ЗАМОВНИКА: вул. Ізмаїльська, 71, 75, м. Болград, Одеська обл., 68702;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від ПОСТАЧАЛЬНИКА: ___________________________________________.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від ЗАМОВНИКА: bolgcrb@gmail.com.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від ПОСТАЧАЛЬНИКА: ____________.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11.4. Протягом 5 (п’яти) робочих днів з дня підписання цього Договору Сторони надають одна одній перелік осіб, уповноважених з боку ПОСТАЧАЛЬНИКА на подачу повідомлення про поставку та інформування про відправку продукції, а з боку ЗАМОВНИКА ― отримувати та надавати ПОСТАЧАЛЬНИКУ підтвердження про отримання повідомлення про поставку та готовність прийняти поставку, з вказанням прізвищ, ініціалів та зразків підписів таких осіб. Сторони повідомляють одна одну про будь-які зміни, що стосуються їх уповноважених осіб, впродовж всього строку дії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12. ДІЯ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12.1. Цей Договір вважається укладеним і набирає чинності після його підписанн</w:t>
      </w:r>
      <w:r w:rsidR="00B53CD2">
        <w:rPr>
          <w:rFonts w:ascii="Times New Roman" w:hAnsi="Times New Roman" w:cs="Times New Roman"/>
          <w:sz w:val="20"/>
          <w:szCs w:val="20"/>
        </w:rPr>
        <w:t>я Сторонами та діє до 31.12.2024</w:t>
      </w:r>
      <w:r w:rsidRPr="00EE3FB0">
        <w:rPr>
          <w:rFonts w:ascii="Times New Roman" w:hAnsi="Times New Roman" w:cs="Times New Roman"/>
          <w:sz w:val="20"/>
          <w:szCs w:val="20"/>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12.2.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13. ПРИКІНЦЕВІ ПОЛОЖЕННЯ</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13.1. На момент укладання цього Договору ЗАМОВНИК є платником ПДВ на загальних підставах.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13.2. На момент укладання цього Договору ПОСТАЧАЛЬНИК є _______________________.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13.3. Підставою для розірвання Договору достроково є порушення з боку ПОСТАЧАЛЬНИКА умов розділу 7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13.3.1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13.3.1.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порушення ПОСТАЧАЛЬНИКОМ умов розділів 4-7 цього Договору та/або істотне порушення ПОСТАЧАЛЬНИКОМ своїх зобов’язань за цим Договором;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прийняття судового рішення про визнання ПОСТАЧАЛЬНИКА банкрутом.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13.4. Факсимільні копії документів не мають юридичну силу.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13.5.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13.2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13.6.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13.7.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13.8.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13.9.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14. МІСЦЕЗНАХОДЖЕННЯ І РЕКВІЗИТИ СТОРІН </w:t>
      </w:r>
    </w:p>
    <w:tbl>
      <w:tblPr>
        <w:tblW w:w="10065" w:type="dxa"/>
        <w:tblLayout w:type="fixed"/>
        <w:tblLook w:val="00A0" w:firstRow="1" w:lastRow="0" w:firstColumn="1" w:lastColumn="0" w:noHBand="0" w:noVBand="0"/>
      </w:tblPr>
      <w:tblGrid>
        <w:gridCol w:w="5032"/>
        <w:gridCol w:w="5033"/>
      </w:tblGrid>
      <w:tr w:rsidR="007F166A" w:rsidRPr="00AA577C" w:rsidTr="007F166A">
        <w:tc>
          <w:tcPr>
            <w:tcW w:w="5032" w:type="dxa"/>
          </w:tcPr>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b/>
                <w:sz w:val="20"/>
                <w:szCs w:val="20"/>
                <w:lang w:eastAsia="ar-SA"/>
              </w:rPr>
              <w:t>Постачальник</w:t>
            </w:r>
            <w:r w:rsidRPr="00AA577C">
              <w:rPr>
                <w:rFonts w:ascii="Times New Roman" w:hAnsi="Times New Roman" w:cs="Times New Roman"/>
                <w:sz w:val="20"/>
                <w:szCs w:val="20"/>
                <w:lang w:eastAsia="ar-SA"/>
              </w:rPr>
              <w:t xml:space="preserve"> </w:t>
            </w:r>
          </w:p>
          <w:p w:rsidR="007F166A" w:rsidRPr="00AA577C" w:rsidRDefault="007F166A" w:rsidP="008136CC">
            <w:pPr>
              <w:suppressAutoHyphens/>
              <w:contextualSpacing/>
              <w:jc w:val="both"/>
              <w:rPr>
                <w:rFonts w:ascii="Times New Roman" w:hAnsi="Times New Roman" w:cs="Times New Roman"/>
                <w:b/>
                <w:sz w:val="20"/>
                <w:szCs w:val="20"/>
                <w:lang w:eastAsia="ar-SA"/>
              </w:rPr>
            </w:pP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Керівник</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 (_______________________)</w:t>
            </w:r>
          </w:p>
        </w:tc>
        <w:tc>
          <w:tcPr>
            <w:tcW w:w="5033" w:type="dxa"/>
          </w:tcPr>
          <w:p w:rsidR="007F166A" w:rsidRDefault="00B53CD2" w:rsidP="008136CC">
            <w:pPr>
              <w:suppressAutoHyphens/>
              <w:contextualSpacing/>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Замовник</w:t>
            </w:r>
          </w:p>
          <w:p w:rsidR="007F166A" w:rsidRPr="00AA577C" w:rsidRDefault="007F166A" w:rsidP="008136CC">
            <w:pPr>
              <w:suppressAutoHyphens/>
              <w:contextualSpacing/>
              <w:jc w:val="both"/>
              <w:rPr>
                <w:rFonts w:ascii="Times New Roman" w:hAnsi="Times New Roman" w:cs="Times New Roman"/>
                <w:b/>
                <w:sz w:val="20"/>
                <w:szCs w:val="20"/>
                <w:lang w:eastAsia="ar-SA"/>
              </w:rPr>
            </w:pP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AA577C"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Керівник</w:t>
            </w:r>
          </w:p>
          <w:p w:rsidR="007F166A" w:rsidRPr="00AA577C" w:rsidRDefault="007F166A" w:rsidP="008136CC">
            <w:pPr>
              <w:suppressAutoHyphens/>
              <w:contextualSpacing/>
              <w:jc w:val="both"/>
              <w:rPr>
                <w:rFonts w:ascii="Times New Roman" w:hAnsi="Times New Roman" w:cs="Times New Roman"/>
                <w:bCs/>
                <w:sz w:val="20"/>
                <w:szCs w:val="20"/>
              </w:rPr>
            </w:pPr>
            <w:r w:rsidRPr="007F166A">
              <w:rPr>
                <w:rFonts w:ascii="Times New Roman" w:hAnsi="Times New Roman" w:cs="Times New Roman"/>
                <w:sz w:val="20"/>
                <w:szCs w:val="20"/>
                <w:lang w:eastAsia="ar-SA"/>
              </w:rPr>
              <w:t>_________________ (_______________________)</w:t>
            </w:r>
          </w:p>
        </w:tc>
      </w:tr>
    </w:tbl>
    <w:p w:rsidR="00EE3FB0" w:rsidRPr="00EE3FB0" w:rsidRDefault="00EE3FB0" w:rsidP="00EE3FB0">
      <w:pPr>
        <w:jc w:val="both"/>
        <w:rPr>
          <w:rFonts w:ascii="Times New Roman" w:hAnsi="Times New Roman" w:cs="Times New Roman"/>
          <w:sz w:val="20"/>
          <w:szCs w:val="20"/>
        </w:rPr>
      </w:pPr>
    </w:p>
    <w:p w:rsidR="007F166A" w:rsidRDefault="007F166A">
      <w:pPr>
        <w:rPr>
          <w:rFonts w:ascii="Times New Roman" w:hAnsi="Times New Roman" w:cs="Times New Roman"/>
          <w:b/>
          <w:sz w:val="20"/>
          <w:szCs w:val="20"/>
        </w:rPr>
      </w:pPr>
      <w:r>
        <w:rPr>
          <w:rFonts w:ascii="Times New Roman" w:hAnsi="Times New Roman" w:cs="Times New Roman"/>
          <w:b/>
          <w:sz w:val="20"/>
          <w:szCs w:val="20"/>
        </w:rPr>
        <w:br w:type="page"/>
      </w:r>
    </w:p>
    <w:p w:rsidR="007F166A" w:rsidRPr="00AA577C" w:rsidRDefault="007F166A" w:rsidP="007F166A">
      <w:pPr>
        <w:autoSpaceDE w:val="0"/>
        <w:autoSpaceDN w:val="0"/>
        <w:adjustRightInd w:val="0"/>
        <w:spacing w:after="0"/>
        <w:ind w:right="125"/>
        <w:jc w:val="right"/>
        <w:rPr>
          <w:rFonts w:ascii="Times New Roman" w:hAnsi="Times New Roman" w:cs="Times New Roman"/>
          <w:b/>
          <w:sz w:val="20"/>
          <w:szCs w:val="20"/>
          <w:lang w:eastAsia="uk-UA"/>
        </w:rPr>
      </w:pPr>
      <w:r w:rsidRPr="00AA577C">
        <w:rPr>
          <w:rFonts w:ascii="Times New Roman" w:hAnsi="Times New Roman" w:cs="Times New Roman"/>
          <w:sz w:val="20"/>
          <w:szCs w:val="20"/>
          <w:lang w:eastAsia="uk-UA"/>
        </w:rPr>
        <w:t>Додаток №1</w:t>
      </w:r>
    </w:p>
    <w:p w:rsidR="007F166A" w:rsidRPr="00AA577C" w:rsidRDefault="007F166A" w:rsidP="007F166A">
      <w:pPr>
        <w:autoSpaceDE w:val="0"/>
        <w:autoSpaceDN w:val="0"/>
        <w:adjustRightInd w:val="0"/>
        <w:spacing w:after="0"/>
        <w:ind w:right="125"/>
        <w:jc w:val="right"/>
        <w:rPr>
          <w:rFonts w:ascii="Times New Roman" w:hAnsi="Times New Roman" w:cs="Times New Roman"/>
          <w:sz w:val="20"/>
          <w:szCs w:val="20"/>
        </w:rPr>
      </w:pPr>
      <w:r w:rsidRPr="00AA577C">
        <w:rPr>
          <w:rFonts w:ascii="Times New Roman" w:hAnsi="Times New Roman" w:cs="Times New Roman"/>
          <w:sz w:val="20"/>
          <w:szCs w:val="20"/>
          <w:lang w:eastAsia="uk-UA"/>
        </w:rPr>
        <w:t xml:space="preserve">до Договору про закупівлю </w:t>
      </w:r>
      <w:r w:rsidRPr="00AA577C">
        <w:rPr>
          <w:rFonts w:ascii="Times New Roman" w:hAnsi="Times New Roman" w:cs="Times New Roman"/>
          <w:sz w:val="20"/>
          <w:szCs w:val="20"/>
        </w:rPr>
        <w:t>№ _____</w:t>
      </w:r>
    </w:p>
    <w:p w:rsidR="007F166A" w:rsidRPr="00AA577C" w:rsidRDefault="007F166A" w:rsidP="007F166A">
      <w:pPr>
        <w:autoSpaceDE w:val="0"/>
        <w:autoSpaceDN w:val="0"/>
        <w:adjustRightInd w:val="0"/>
        <w:spacing w:after="0"/>
        <w:ind w:right="125"/>
        <w:jc w:val="right"/>
        <w:rPr>
          <w:rFonts w:ascii="Times New Roman" w:hAnsi="Times New Roman" w:cs="Times New Roman"/>
          <w:b/>
          <w:sz w:val="20"/>
          <w:szCs w:val="20"/>
          <w:lang w:eastAsia="uk-UA"/>
        </w:rPr>
      </w:pPr>
      <w:r w:rsidRPr="00AA577C">
        <w:rPr>
          <w:rFonts w:ascii="Times New Roman" w:hAnsi="Times New Roman" w:cs="Times New Roman"/>
          <w:sz w:val="20"/>
          <w:szCs w:val="20"/>
        </w:rPr>
        <w:t>від «___» ___________ 202</w:t>
      </w:r>
      <w:r w:rsidR="00B53CD2">
        <w:rPr>
          <w:rFonts w:ascii="Times New Roman" w:hAnsi="Times New Roman" w:cs="Times New Roman"/>
          <w:sz w:val="20"/>
          <w:szCs w:val="20"/>
        </w:rPr>
        <w:t>4</w:t>
      </w:r>
      <w:r w:rsidRPr="00AA577C">
        <w:rPr>
          <w:rFonts w:ascii="Times New Roman" w:hAnsi="Times New Roman" w:cs="Times New Roman"/>
          <w:sz w:val="20"/>
          <w:szCs w:val="20"/>
        </w:rPr>
        <w:t xml:space="preserve"> р.</w:t>
      </w:r>
    </w:p>
    <w:p w:rsidR="007F166A" w:rsidRPr="00AA577C" w:rsidRDefault="007F166A" w:rsidP="007F166A">
      <w:pPr>
        <w:autoSpaceDE w:val="0"/>
        <w:autoSpaceDN w:val="0"/>
        <w:adjustRightInd w:val="0"/>
        <w:spacing w:after="0"/>
        <w:ind w:right="125"/>
        <w:jc w:val="right"/>
        <w:rPr>
          <w:rFonts w:ascii="Times New Roman" w:hAnsi="Times New Roman" w:cs="Times New Roman"/>
          <w:sz w:val="20"/>
          <w:szCs w:val="20"/>
          <w:lang w:eastAsia="uk-UA"/>
        </w:rPr>
      </w:pPr>
    </w:p>
    <w:p w:rsidR="007F166A" w:rsidRPr="00AA577C" w:rsidRDefault="007F166A" w:rsidP="007F166A">
      <w:pPr>
        <w:autoSpaceDE w:val="0"/>
        <w:autoSpaceDN w:val="0"/>
        <w:adjustRightInd w:val="0"/>
        <w:spacing w:after="0"/>
        <w:ind w:right="125"/>
        <w:jc w:val="right"/>
        <w:rPr>
          <w:rFonts w:ascii="Times New Roman" w:hAnsi="Times New Roman" w:cs="Times New Roman"/>
          <w:sz w:val="20"/>
          <w:szCs w:val="20"/>
          <w:lang w:eastAsia="uk-UA"/>
        </w:rPr>
      </w:pPr>
    </w:p>
    <w:p w:rsidR="007F166A" w:rsidRPr="00AA577C" w:rsidRDefault="007F166A" w:rsidP="007F166A">
      <w:pPr>
        <w:shd w:val="clear" w:color="auto" w:fill="FFFFFF"/>
        <w:spacing w:after="0"/>
        <w:jc w:val="center"/>
        <w:rPr>
          <w:rFonts w:ascii="Times New Roman" w:hAnsi="Times New Roman" w:cs="Times New Roman"/>
          <w:b/>
          <w:caps/>
          <w:sz w:val="20"/>
          <w:szCs w:val="20"/>
        </w:rPr>
      </w:pPr>
      <w:r w:rsidRPr="00AA577C">
        <w:rPr>
          <w:rFonts w:ascii="Times New Roman" w:hAnsi="Times New Roman" w:cs="Times New Roman"/>
          <w:b/>
          <w:caps/>
          <w:sz w:val="20"/>
          <w:szCs w:val="20"/>
        </w:rPr>
        <w:t>Специфікація</w:t>
      </w:r>
    </w:p>
    <w:p w:rsidR="007F166A" w:rsidRPr="00AA577C" w:rsidRDefault="007F166A" w:rsidP="007F166A">
      <w:pPr>
        <w:shd w:val="clear" w:color="auto" w:fill="FFFFFF"/>
        <w:spacing w:after="0"/>
        <w:jc w:val="center"/>
        <w:rPr>
          <w:rFonts w:ascii="Times New Roman" w:hAnsi="Times New Roman" w:cs="Times New Roman"/>
          <w:b/>
          <w:caps/>
          <w:sz w:val="20"/>
          <w:szCs w:val="20"/>
        </w:rPr>
      </w:pPr>
    </w:p>
    <w:p w:rsidR="007F166A" w:rsidRPr="00AA577C" w:rsidRDefault="007F166A" w:rsidP="007F166A">
      <w:pPr>
        <w:shd w:val="clear" w:color="auto" w:fill="FFFFFF"/>
        <w:spacing w:after="0"/>
        <w:rPr>
          <w:rFonts w:ascii="Times New Roman" w:hAnsi="Times New Roman" w:cs="Times New Roman"/>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81"/>
        <w:gridCol w:w="1559"/>
        <w:gridCol w:w="1418"/>
        <w:gridCol w:w="1701"/>
        <w:gridCol w:w="1276"/>
      </w:tblGrid>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w:t>
            </w:r>
          </w:p>
        </w:tc>
        <w:tc>
          <w:tcPr>
            <w:tcW w:w="3581"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Найменування товару</w:t>
            </w:r>
          </w:p>
        </w:tc>
        <w:tc>
          <w:tcPr>
            <w:tcW w:w="1559"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Одиниці виміру</w:t>
            </w:r>
          </w:p>
        </w:tc>
        <w:tc>
          <w:tcPr>
            <w:tcW w:w="1418"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Кількість</w:t>
            </w:r>
          </w:p>
        </w:tc>
        <w:tc>
          <w:tcPr>
            <w:tcW w:w="1701" w:type="dxa"/>
          </w:tcPr>
          <w:p w:rsidR="007F166A" w:rsidRPr="00AA577C" w:rsidRDefault="007F166A" w:rsidP="007F166A">
            <w:pPr>
              <w:autoSpaceDE w:val="0"/>
              <w:autoSpaceDN w:val="0"/>
              <w:adjustRightInd w:val="0"/>
              <w:spacing w:after="0"/>
              <w:jc w:val="center"/>
              <w:rPr>
                <w:rFonts w:ascii="Times New Roman" w:hAnsi="Times New Roman" w:cs="Times New Roman"/>
                <w:color w:val="000000"/>
                <w:sz w:val="20"/>
                <w:szCs w:val="20"/>
              </w:rPr>
            </w:pPr>
            <w:r w:rsidRPr="00AA577C">
              <w:rPr>
                <w:rFonts w:ascii="Times New Roman" w:hAnsi="Times New Roman" w:cs="Times New Roman"/>
                <w:color w:val="000000"/>
                <w:sz w:val="20"/>
                <w:szCs w:val="20"/>
              </w:rPr>
              <w:t>Ціна за одиницю</w:t>
            </w:r>
            <w:r>
              <w:rPr>
                <w:rFonts w:ascii="Times New Roman" w:hAnsi="Times New Roman" w:cs="Times New Roman"/>
                <w:color w:val="000000"/>
                <w:sz w:val="20"/>
                <w:szCs w:val="20"/>
              </w:rPr>
              <w:t>,</w:t>
            </w:r>
            <w:r w:rsidRPr="00AA577C">
              <w:rPr>
                <w:rFonts w:ascii="Times New Roman" w:hAnsi="Times New Roman" w:cs="Times New Roman"/>
                <w:color w:val="000000"/>
                <w:sz w:val="20"/>
                <w:szCs w:val="20"/>
              </w:rPr>
              <w:t xml:space="preserve"> з ПДВ*</w:t>
            </w:r>
            <w:r>
              <w:rPr>
                <w:rFonts w:ascii="Times New Roman" w:hAnsi="Times New Roman" w:cs="Times New Roman"/>
                <w:color w:val="000000"/>
                <w:sz w:val="20"/>
                <w:szCs w:val="20"/>
              </w:rPr>
              <w:t xml:space="preserve">, </w:t>
            </w:r>
            <w:r w:rsidRPr="00AA577C">
              <w:rPr>
                <w:rFonts w:ascii="Times New Roman" w:hAnsi="Times New Roman" w:cs="Times New Roman"/>
                <w:color w:val="000000"/>
                <w:sz w:val="20"/>
                <w:szCs w:val="20"/>
              </w:rPr>
              <w:t>грн</w:t>
            </w:r>
          </w:p>
        </w:tc>
        <w:tc>
          <w:tcPr>
            <w:tcW w:w="1276" w:type="dxa"/>
          </w:tcPr>
          <w:p w:rsidR="007F166A" w:rsidRPr="00AA577C" w:rsidRDefault="007F166A" w:rsidP="007F166A">
            <w:pPr>
              <w:autoSpaceDE w:val="0"/>
              <w:autoSpaceDN w:val="0"/>
              <w:adjustRightInd w:val="0"/>
              <w:spacing w:after="0"/>
              <w:jc w:val="center"/>
              <w:rPr>
                <w:rFonts w:ascii="Times New Roman" w:hAnsi="Times New Roman" w:cs="Times New Roman"/>
                <w:color w:val="000000"/>
                <w:sz w:val="20"/>
                <w:szCs w:val="20"/>
              </w:rPr>
            </w:pPr>
            <w:r w:rsidRPr="00AA577C">
              <w:rPr>
                <w:rFonts w:ascii="Times New Roman" w:hAnsi="Times New Roman" w:cs="Times New Roman"/>
                <w:color w:val="000000"/>
                <w:sz w:val="20"/>
                <w:szCs w:val="20"/>
              </w:rPr>
              <w:t>Сума,</w:t>
            </w:r>
            <w:r>
              <w:rPr>
                <w:rFonts w:ascii="Times New Roman" w:hAnsi="Times New Roman" w:cs="Times New Roman"/>
                <w:color w:val="000000"/>
                <w:sz w:val="20"/>
                <w:szCs w:val="20"/>
              </w:rPr>
              <w:t xml:space="preserve"> </w:t>
            </w:r>
            <w:r w:rsidRPr="00AA577C">
              <w:rPr>
                <w:rFonts w:ascii="Times New Roman" w:hAnsi="Times New Roman" w:cs="Times New Roman"/>
                <w:color w:val="000000"/>
                <w:sz w:val="20"/>
                <w:szCs w:val="20"/>
              </w:rPr>
              <w:t>з ПДВ*</w:t>
            </w:r>
            <w:r>
              <w:rPr>
                <w:rFonts w:ascii="Times New Roman" w:hAnsi="Times New Roman" w:cs="Times New Roman"/>
                <w:color w:val="000000"/>
                <w:sz w:val="20"/>
                <w:szCs w:val="20"/>
              </w:rPr>
              <w:t xml:space="preserve">, </w:t>
            </w:r>
            <w:r w:rsidRPr="00AA577C">
              <w:rPr>
                <w:rFonts w:ascii="Times New Roman" w:hAnsi="Times New Roman" w:cs="Times New Roman"/>
                <w:color w:val="000000"/>
                <w:sz w:val="20"/>
                <w:szCs w:val="20"/>
              </w:rPr>
              <w:t>грн</w:t>
            </w: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1</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2</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3</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N</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8784" w:type="dxa"/>
            <w:gridSpan w:val="5"/>
          </w:tcPr>
          <w:p w:rsidR="007F166A" w:rsidRPr="00AA577C" w:rsidRDefault="007F166A" w:rsidP="007F166A">
            <w:pPr>
              <w:autoSpaceDE w:val="0"/>
              <w:autoSpaceDN w:val="0"/>
              <w:adjustRightInd w:val="0"/>
              <w:spacing w:after="0"/>
              <w:jc w:val="right"/>
              <w:rPr>
                <w:rFonts w:ascii="Times New Roman" w:hAnsi="Times New Roman" w:cs="Times New Roman"/>
                <w:color w:val="000000"/>
                <w:sz w:val="20"/>
                <w:szCs w:val="20"/>
              </w:rPr>
            </w:pPr>
            <w:r w:rsidRPr="00AA577C">
              <w:rPr>
                <w:rFonts w:ascii="Times New Roman" w:hAnsi="Times New Roman" w:cs="Times New Roman"/>
                <w:b/>
                <w:bCs/>
                <w:color w:val="000000"/>
                <w:sz w:val="20"/>
                <w:szCs w:val="20"/>
              </w:rPr>
              <w:t xml:space="preserve">Всього без ПДВ: </w:t>
            </w: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8784" w:type="dxa"/>
            <w:gridSpan w:val="5"/>
          </w:tcPr>
          <w:p w:rsidR="007F166A" w:rsidRPr="00AA577C" w:rsidRDefault="007F166A" w:rsidP="007F166A">
            <w:pPr>
              <w:autoSpaceDE w:val="0"/>
              <w:autoSpaceDN w:val="0"/>
              <w:adjustRightInd w:val="0"/>
              <w:spacing w:after="0"/>
              <w:jc w:val="right"/>
              <w:rPr>
                <w:rFonts w:ascii="Times New Roman" w:hAnsi="Times New Roman" w:cs="Times New Roman"/>
                <w:color w:val="000000"/>
                <w:sz w:val="20"/>
                <w:szCs w:val="20"/>
              </w:rPr>
            </w:pPr>
            <w:r w:rsidRPr="00AA577C">
              <w:rPr>
                <w:rFonts w:ascii="Times New Roman" w:hAnsi="Times New Roman" w:cs="Times New Roman"/>
                <w:b/>
                <w:bCs/>
                <w:color w:val="000000"/>
                <w:sz w:val="20"/>
                <w:szCs w:val="20"/>
              </w:rPr>
              <w:t xml:space="preserve">ПДВ*: </w:t>
            </w: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8784" w:type="dxa"/>
            <w:gridSpan w:val="5"/>
          </w:tcPr>
          <w:p w:rsidR="007F166A" w:rsidRPr="00AA577C" w:rsidRDefault="007F166A" w:rsidP="007F166A">
            <w:pPr>
              <w:autoSpaceDE w:val="0"/>
              <w:autoSpaceDN w:val="0"/>
              <w:adjustRightInd w:val="0"/>
              <w:spacing w:after="0"/>
              <w:jc w:val="right"/>
              <w:rPr>
                <w:rFonts w:ascii="Times New Roman" w:hAnsi="Times New Roman" w:cs="Times New Roman"/>
                <w:color w:val="000000"/>
                <w:sz w:val="20"/>
                <w:szCs w:val="20"/>
              </w:rPr>
            </w:pPr>
            <w:r w:rsidRPr="00AA577C">
              <w:rPr>
                <w:rFonts w:ascii="Times New Roman" w:hAnsi="Times New Roman" w:cs="Times New Roman"/>
                <w:b/>
                <w:bCs/>
                <w:color w:val="000000"/>
                <w:sz w:val="20"/>
                <w:szCs w:val="20"/>
              </w:rPr>
              <w:t xml:space="preserve">Всього сума з ПДВ*: </w:t>
            </w: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bl>
    <w:p w:rsidR="007F166A" w:rsidRPr="00AA577C" w:rsidRDefault="007F166A" w:rsidP="007F166A">
      <w:pPr>
        <w:autoSpaceDE w:val="0"/>
        <w:autoSpaceDN w:val="0"/>
        <w:adjustRightInd w:val="0"/>
        <w:spacing w:after="0"/>
        <w:rPr>
          <w:rFonts w:ascii="Times New Roman" w:hAnsi="Times New Roman" w:cs="Times New Roman"/>
          <w:sz w:val="20"/>
          <w:szCs w:val="20"/>
          <w:lang w:eastAsia="uk-UA"/>
        </w:rPr>
      </w:pPr>
      <w:r w:rsidRPr="00AA577C">
        <w:rPr>
          <w:rFonts w:ascii="Times New Roman" w:hAnsi="Times New Roman" w:cs="Times New Roman"/>
          <w:sz w:val="20"/>
          <w:szCs w:val="20"/>
          <w:lang w:eastAsia="uk-UA"/>
        </w:rPr>
        <w:t>*Якщо учасник не є платником податку на додану вартість, зазначається ціна «без ПДВ»</w:t>
      </w:r>
    </w:p>
    <w:p w:rsidR="007F166A" w:rsidRDefault="007F166A" w:rsidP="007F166A">
      <w:pPr>
        <w:autoSpaceDE w:val="0"/>
        <w:autoSpaceDN w:val="0"/>
        <w:adjustRightInd w:val="0"/>
        <w:spacing w:after="0"/>
        <w:rPr>
          <w:rFonts w:ascii="Times New Roman" w:hAnsi="Times New Roman" w:cs="Times New Roman"/>
          <w:sz w:val="20"/>
          <w:szCs w:val="20"/>
          <w:lang w:eastAsia="uk-UA"/>
        </w:rPr>
      </w:pPr>
    </w:p>
    <w:p w:rsidR="00B53CD2" w:rsidRPr="00ED0D31" w:rsidRDefault="00B53CD2" w:rsidP="00B53CD2">
      <w:pPr>
        <w:autoSpaceDE w:val="0"/>
        <w:autoSpaceDN w:val="0"/>
        <w:adjustRightInd w:val="0"/>
        <w:spacing w:line="240" w:lineRule="auto"/>
        <w:jc w:val="both"/>
        <w:rPr>
          <w:rFonts w:ascii="Times New Roman" w:eastAsia="Times New Roman" w:hAnsi="Times New Roman" w:cs="Times New Roman"/>
          <w:sz w:val="20"/>
          <w:szCs w:val="20"/>
        </w:rPr>
      </w:pPr>
      <w:r w:rsidRPr="00ED0D3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ED0D31">
        <w:rPr>
          <w:rFonts w:ascii="Times New Roman" w:eastAsia="Times New Roman" w:hAnsi="Times New Roman" w:cs="Times New Roman"/>
          <w:sz w:val="20"/>
          <w:szCs w:val="20"/>
        </w:rPr>
        <w:t xml:space="preserve">Для цілей Закону України «Про публічні закупівлі» предмет поставки за цим Договором відноситься до </w:t>
      </w:r>
      <w:r w:rsidRPr="00257660">
        <w:rPr>
          <w:rFonts w:ascii="Times New Roman" w:eastAsia="Times New Roman" w:hAnsi="Times New Roman" w:cs="Times New Roman"/>
          <w:b/>
          <w:sz w:val="20"/>
          <w:szCs w:val="20"/>
        </w:rPr>
        <w:t xml:space="preserve">ДК 021:2015 ― </w:t>
      </w:r>
      <w:r w:rsidRPr="00B53CD2">
        <w:rPr>
          <w:rFonts w:ascii="Times New Roman" w:eastAsia="Times New Roman" w:hAnsi="Times New Roman" w:cs="Times New Roman"/>
          <w:b/>
          <w:sz w:val="20"/>
          <w:szCs w:val="20"/>
        </w:rPr>
        <w:t>33600000-6 - Фармацевтична продукція</w:t>
      </w:r>
      <w:r>
        <w:rPr>
          <w:rFonts w:ascii="Times New Roman" w:eastAsia="Times New Roman" w:hAnsi="Times New Roman" w:cs="Times New Roman"/>
          <w:sz w:val="20"/>
          <w:szCs w:val="20"/>
        </w:rPr>
        <w:t>.</w:t>
      </w:r>
    </w:p>
    <w:p w:rsidR="00B53CD2" w:rsidRPr="00ED0D31" w:rsidRDefault="00B53CD2" w:rsidP="00B53CD2">
      <w:pPr>
        <w:autoSpaceDE w:val="0"/>
        <w:autoSpaceDN w:val="0"/>
        <w:adjustRightInd w:val="0"/>
        <w:spacing w:line="240" w:lineRule="auto"/>
        <w:jc w:val="both"/>
        <w:rPr>
          <w:rFonts w:ascii="Times New Roman" w:eastAsia="Times New Roman" w:hAnsi="Times New Roman" w:cs="Times New Roman"/>
          <w:sz w:val="20"/>
          <w:szCs w:val="20"/>
        </w:rPr>
      </w:pPr>
      <w:r w:rsidRPr="00ED0D31">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00ED0D31">
        <w:rPr>
          <w:rFonts w:ascii="Times New Roman" w:eastAsia="Times New Roman" w:hAnsi="Times New Roman" w:cs="Times New Roman"/>
          <w:sz w:val="20"/>
          <w:szCs w:val="20"/>
        </w:rPr>
        <w:t xml:space="preserve">Відповідно до п. 2.1. Договору, загальна вартість цього ДОГОВОРУ становить </w:t>
      </w:r>
      <w:r w:rsidRPr="00257660">
        <w:rPr>
          <w:rFonts w:ascii="Times New Roman" w:eastAsia="Times New Roman" w:hAnsi="Times New Roman" w:cs="Times New Roman"/>
          <w:b/>
          <w:sz w:val="20"/>
          <w:szCs w:val="20"/>
        </w:rPr>
        <w:t>______ грн, в т.ч. ПДВ</w:t>
      </w:r>
      <w:r>
        <w:rPr>
          <w:rFonts w:ascii="Times New Roman" w:eastAsia="Times New Roman" w:hAnsi="Times New Roman" w:cs="Times New Roman"/>
          <w:b/>
          <w:sz w:val="20"/>
          <w:szCs w:val="20"/>
        </w:rPr>
        <w:t>/без ПДВ.</w:t>
      </w:r>
    </w:p>
    <w:p w:rsidR="00B53CD2" w:rsidRPr="00ED0D31" w:rsidRDefault="00B53CD2" w:rsidP="00B53CD2">
      <w:pPr>
        <w:autoSpaceDE w:val="0"/>
        <w:autoSpaceDN w:val="0"/>
        <w:adjustRightInd w:val="0"/>
        <w:spacing w:line="240" w:lineRule="auto"/>
        <w:jc w:val="both"/>
        <w:rPr>
          <w:rFonts w:ascii="Times New Roman" w:eastAsia="Times New Roman" w:hAnsi="Times New Roman" w:cs="Times New Roman"/>
          <w:sz w:val="20"/>
          <w:szCs w:val="20"/>
        </w:rPr>
      </w:pPr>
      <w:r w:rsidRPr="00ED0D31">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ED0D31">
        <w:rPr>
          <w:rFonts w:ascii="Times New Roman" w:eastAsia="Times New Roman" w:hAnsi="Times New Roman" w:cs="Times New Roman"/>
          <w:sz w:val="20"/>
          <w:szCs w:val="20"/>
        </w:rPr>
        <w:t>Відповідного п</w:t>
      </w:r>
      <w:r>
        <w:rPr>
          <w:rFonts w:ascii="Times New Roman" w:eastAsia="Times New Roman" w:hAnsi="Times New Roman" w:cs="Times New Roman"/>
          <w:sz w:val="20"/>
          <w:szCs w:val="20"/>
        </w:rPr>
        <w:t>.</w:t>
      </w:r>
      <w:r w:rsidR="002040D9">
        <w:rPr>
          <w:rFonts w:ascii="Times New Roman" w:eastAsia="Times New Roman" w:hAnsi="Times New Roman" w:cs="Times New Roman"/>
          <w:sz w:val="20"/>
          <w:szCs w:val="20"/>
        </w:rPr>
        <w:t xml:space="preserve"> 3.5</w:t>
      </w:r>
      <w:r w:rsidRPr="00ED0D31">
        <w:rPr>
          <w:rFonts w:ascii="Times New Roman" w:eastAsia="Times New Roman" w:hAnsi="Times New Roman" w:cs="Times New Roman"/>
          <w:sz w:val="20"/>
          <w:szCs w:val="20"/>
        </w:rPr>
        <w:t xml:space="preserve">., оплата Товару здійснюється впродовж </w:t>
      </w:r>
      <w:r w:rsidRPr="00257660">
        <w:rPr>
          <w:rFonts w:ascii="Times New Roman" w:eastAsia="Times New Roman" w:hAnsi="Times New Roman" w:cs="Times New Roman"/>
          <w:b/>
          <w:sz w:val="20"/>
          <w:szCs w:val="20"/>
        </w:rPr>
        <w:t>14 (чотирнадцяти) робочих днів</w:t>
      </w:r>
      <w:r w:rsidRPr="00ED0D31">
        <w:rPr>
          <w:rFonts w:ascii="Times New Roman" w:eastAsia="Times New Roman" w:hAnsi="Times New Roman" w:cs="Times New Roman"/>
          <w:sz w:val="20"/>
          <w:szCs w:val="20"/>
        </w:rPr>
        <w:t xml:space="preserve"> з дати поставки (передачі) Товару та підписання уповноваженими представниками Сторін видаткової накладної.</w:t>
      </w:r>
    </w:p>
    <w:p w:rsidR="00B53CD2" w:rsidRPr="00ED0D31" w:rsidRDefault="002040D9" w:rsidP="00B53CD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53CD2" w:rsidRPr="00ED0D31">
        <w:rPr>
          <w:rFonts w:ascii="Times New Roman" w:eastAsia="Times New Roman" w:hAnsi="Times New Roman" w:cs="Times New Roman"/>
          <w:sz w:val="20"/>
          <w:szCs w:val="20"/>
        </w:rPr>
        <w:t>.</w:t>
      </w:r>
      <w:r w:rsidR="00B53CD2">
        <w:rPr>
          <w:rFonts w:ascii="Times New Roman" w:eastAsia="Times New Roman" w:hAnsi="Times New Roman" w:cs="Times New Roman"/>
          <w:sz w:val="20"/>
          <w:szCs w:val="20"/>
        </w:rPr>
        <w:t xml:space="preserve"> </w:t>
      </w:r>
      <w:r w:rsidR="00B53CD2" w:rsidRPr="00ED0D31">
        <w:rPr>
          <w:rFonts w:ascii="Times New Roman" w:eastAsia="Times New Roman" w:hAnsi="Times New Roman" w:cs="Times New Roman"/>
          <w:sz w:val="20"/>
          <w:szCs w:val="20"/>
        </w:rPr>
        <w:t>Відповідного п</w:t>
      </w:r>
      <w:r w:rsidR="00B53CD2">
        <w:rPr>
          <w:rFonts w:ascii="Times New Roman" w:eastAsia="Times New Roman" w:hAnsi="Times New Roman" w:cs="Times New Roman"/>
          <w:sz w:val="20"/>
          <w:szCs w:val="20"/>
        </w:rPr>
        <w:t>.</w:t>
      </w:r>
      <w:r w:rsidR="00B53CD2" w:rsidRPr="00ED0D31">
        <w:rPr>
          <w:rFonts w:ascii="Times New Roman" w:eastAsia="Times New Roman" w:hAnsi="Times New Roman" w:cs="Times New Roman"/>
          <w:sz w:val="20"/>
          <w:szCs w:val="20"/>
        </w:rPr>
        <w:t xml:space="preserve"> 4.</w:t>
      </w:r>
      <w:r>
        <w:rPr>
          <w:rFonts w:ascii="Times New Roman" w:eastAsia="Times New Roman" w:hAnsi="Times New Roman" w:cs="Times New Roman"/>
          <w:sz w:val="20"/>
          <w:szCs w:val="20"/>
        </w:rPr>
        <w:t>5</w:t>
      </w:r>
      <w:r w:rsidR="00B53CD2" w:rsidRPr="00ED0D31">
        <w:rPr>
          <w:rFonts w:ascii="Times New Roman" w:eastAsia="Times New Roman" w:hAnsi="Times New Roman" w:cs="Times New Roman"/>
          <w:sz w:val="20"/>
          <w:szCs w:val="20"/>
        </w:rPr>
        <w:t>. Договору строк поставки Товару становить</w:t>
      </w:r>
      <w:r w:rsidR="00B53CD2">
        <w:rPr>
          <w:rFonts w:ascii="Times New Roman" w:eastAsia="Times New Roman" w:hAnsi="Times New Roman" w:cs="Times New Roman"/>
          <w:sz w:val="20"/>
          <w:szCs w:val="20"/>
        </w:rPr>
        <w:t xml:space="preserve">: </w:t>
      </w:r>
      <w:r w:rsidR="00A73AD0">
        <w:rPr>
          <w:rFonts w:ascii="Times New Roman" w:eastAsia="Times New Roman" w:hAnsi="Times New Roman" w:cs="Times New Roman"/>
          <w:b/>
          <w:sz w:val="20"/>
          <w:szCs w:val="20"/>
        </w:rPr>
        <w:t xml:space="preserve">до </w:t>
      </w:r>
      <w:r w:rsidR="00A73AD0">
        <w:rPr>
          <w:rFonts w:ascii="Times New Roman" w:eastAsia="Times New Roman" w:hAnsi="Times New Roman" w:cs="Times New Roman"/>
          <w:b/>
          <w:sz w:val="20"/>
          <w:szCs w:val="20"/>
          <w:lang w:val="en-US"/>
        </w:rPr>
        <w:t>31</w:t>
      </w:r>
      <w:r w:rsidR="00B53CD2" w:rsidRPr="00257660">
        <w:rPr>
          <w:rFonts w:ascii="Times New Roman" w:eastAsia="Times New Roman" w:hAnsi="Times New Roman" w:cs="Times New Roman"/>
          <w:b/>
          <w:sz w:val="20"/>
          <w:szCs w:val="20"/>
        </w:rPr>
        <w:t>.</w:t>
      </w:r>
      <w:r w:rsidR="00B53CD2">
        <w:rPr>
          <w:rFonts w:ascii="Times New Roman" w:eastAsia="Times New Roman" w:hAnsi="Times New Roman" w:cs="Times New Roman"/>
          <w:b/>
          <w:sz w:val="20"/>
          <w:szCs w:val="20"/>
        </w:rPr>
        <w:t>0</w:t>
      </w:r>
      <w:r w:rsidR="00A73AD0">
        <w:rPr>
          <w:rFonts w:ascii="Times New Roman" w:eastAsia="Times New Roman" w:hAnsi="Times New Roman" w:cs="Times New Roman"/>
          <w:b/>
          <w:sz w:val="20"/>
          <w:szCs w:val="20"/>
          <w:lang w:val="en-US"/>
        </w:rPr>
        <w:t>3</w:t>
      </w:r>
      <w:r w:rsidR="00B53CD2" w:rsidRPr="00257660">
        <w:rPr>
          <w:rFonts w:ascii="Times New Roman" w:eastAsia="Times New Roman" w:hAnsi="Times New Roman" w:cs="Times New Roman"/>
          <w:b/>
          <w:sz w:val="20"/>
          <w:szCs w:val="20"/>
        </w:rPr>
        <w:t>.202</w:t>
      </w:r>
      <w:r w:rsidR="00B53CD2">
        <w:rPr>
          <w:rFonts w:ascii="Times New Roman" w:eastAsia="Times New Roman" w:hAnsi="Times New Roman" w:cs="Times New Roman"/>
          <w:b/>
          <w:sz w:val="20"/>
          <w:szCs w:val="20"/>
        </w:rPr>
        <w:t>4</w:t>
      </w:r>
      <w:r w:rsidR="00B53CD2" w:rsidRPr="00ED0D31">
        <w:rPr>
          <w:rFonts w:ascii="Times New Roman" w:eastAsia="Times New Roman" w:hAnsi="Times New Roman" w:cs="Times New Roman"/>
          <w:sz w:val="20"/>
          <w:szCs w:val="20"/>
        </w:rPr>
        <w:t>.</w:t>
      </w:r>
    </w:p>
    <w:p w:rsidR="00B53CD2" w:rsidRPr="00ED0D31" w:rsidRDefault="002040D9" w:rsidP="00B53CD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53CD2" w:rsidRPr="00ED0D31">
        <w:rPr>
          <w:rFonts w:ascii="Times New Roman" w:eastAsia="Times New Roman" w:hAnsi="Times New Roman" w:cs="Times New Roman"/>
          <w:sz w:val="20"/>
          <w:szCs w:val="20"/>
        </w:rPr>
        <w:t>.</w:t>
      </w:r>
      <w:r w:rsidR="00B53CD2">
        <w:rPr>
          <w:rFonts w:ascii="Times New Roman" w:eastAsia="Times New Roman" w:hAnsi="Times New Roman" w:cs="Times New Roman"/>
          <w:sz w:val="20"/>
          <w:szCs w:val="20"/>
        </w:rPr>
        <w:t xml:space="preserve"> Відповідно до п</w:t>
      </w:r>
      <w:r w:rsidR="00B53CD2" w:rsidRPr="00ED0D31">
        <w:rPr>
          <w:rFonts w:ascii="Times New Roman" w:eastAsia="Times New Roman" w:hAnsi="Times New Roman" w:cs="Times New Roman"/>
          <w:sz w:val="20"/>
          <w:szCs w:val="20"/>
        </w:rPr>
        <w:t>. 4.</w:t>
      </w:r>
      <w:r>
        <w:rPr>
          <w:rFonts w:ascii="Times New Roman" w:eastAsia="Times New Roman" w:hAnsi="Times New Roman" w:cs="Times New Roman"/>
          <w:sz w:val="20"/>
          <w:szCs w:val="20"/>
        </w:rPr>
        <w:t>1</w:t>
      </w:r>
      <w:r w:rsidR="00B53CD2" w:rsidRPr="00ED0D31">
        <w:rPr>
          <w:rFonts w:ascii="Times New Roman" w:eastAsia="Times New Roman" w:hAnsi="Times New Roman" w:cs="Times New Roman"/>
          <w:sz w:val="20"/>
          <w:szCs w:val="20"/>
        </w:rPr>
        <w:t>. Договору місце поставки Товару</w:t>
      </w:r>
      <w:r w:rsidR="00B53CD2">
        <w:rPr>
          <w:rFonts w:ascii="Times New Roman" w:eastAsia="Times New Roman" w:hAnsi="Times New Roman" w:cs="Times New Roman"/>
          <w:sz w:val="20"/>
          <w:szCs w:val="20"/>
        </w:rPr>
        <w:t xml:space="preserve">: </w:t>
      </w:r>
      <w:r w:rsidR="00B53CD2" w:rsidRPr="002C420A">
        <w:rPr>
          <w:rFonts w:ascii="Times New Roman" w:eastAsia="Times New Roman" w:hAnsi="Times New Roman" w:cs="Times New Roman"/>
          <w:b/>
          <w:sz w:val="20"/>
          <w:szCs w:val="20"/>
        </w:rPr>
        <w:t>Одеська обл., м. Болград, вул. Ізмаїльська, 71, 75</w:t>
      </w:r>
      <w:r w:rsidR="00B53CD2">
        <w:rPr>
          <w:rFonts w:ascii="Times New Roman" w:eastAsia="Times New Roman" w:hAnsi="Times New Roman" w:cs="Times New Roman"/>
          <w:sz w:val="20"/>
          <w:szCs w:val="20"/>
        </w:rPr>
        <w:t>.</w:t>
      </w:r>
    </w:p>
    <w:p w:rsidR="00B53CD2" w:rsidRDefault="002040D9" w:rsidP="00B53CD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B53CD2" w:rsidRPr="00ED0D31">
        <w:rPr>
          <w:rFonts w:ascii="Times New Roman" w:eastAsia="Times New Roman" w:hAnsi="Times New Roman" w:cs="Times New Roman"/>
          <w:sz w:val="20"/>
          <w:szCs w:val="20"/>
        </w:rPr>
        <w:t>.</w:t>
      </w:r>
      <w:r w:rsidR="00B53CD2">
        <w:rPr>
          <w:rFonts w:ascii="Times New Roman" w:eastAsia="Times New Roman" w:hAnsi="Times New Roman" w:cs="Times New Roman"/>
          <w:sz w:val="20"/>
          <w:szCs w:val="20"/>
        </w:rPr>
        <w:t xml:space="preserve"> </w:t>
      </w:r>
      <w:r w:rsidR="00B53CD2" w:rsidRPr="00ED0D31">
        <w:rPr>
          <w:rFonts w:ascii="Times New Roman" w:eastAsia="Times New Roman" w:hAnsi="Times New Roman" w:cs="Times New Roman"/>
          <w:sz w:val="20"/>
          <w:szCs w:val="20"/>
        </w:rPr>
        <w:t>У відповідності до п. 1</w:t>
      </w:r>
      <w:r>
        <w:rPr>
          <w:rFonts w:ascii="Times New Roman" w:eastAsia="Times New Roman" w:hAnsi="Times New Roman" w:cs="Times New Roman"/>
          <w:sz w:val="20"/>
          <w:szCs w:val="20"/>
        </w:rPr>
        <w:t>2</w:t>
      </w:r>
      <w:r w:rsidR="00B53CD2" w:rsidRPr="00ED0D31">
        <w:rPr>
          <w:rFonts w:ascii="Times New Roman" w:eastAsia="Times New Roman" w:hAnsi="Times New Roman" w:cs="Times New Roman"/>
          <w:sz w:val="20"/>
          <w:szCs w:val="20"/>
        </w:rPr>
        <w:t>.1 цього Дог</w:t>
      </w:r>
      <w:bookmarkStart w:id="0" w:name="_GoBack"/>
      <w:bookmarkEnd w:id="0"/>
      <w:r w:rsidR="00B53CD2" w:rsidRPr="00ED0D31">
        <w:rPr>
          <w:rFonts w:ascii="Times New Roman" w:eastAsia="Times New Roman" w:hAnsi="Times New Roman" w:cs="Times New Roman"/>
          <w:sz w:val="20"/>
          <w:szCs w:val="20"/>
        </w:rPr>
        <w:t xml:space="preserve">овору, Договір діє до </w:t>
      </w:r>
      <w:r w:rsidR="00B53CD2" w:rsidRPr="002C420A">
        <w:rPr>
          <w:rFonts w:ascii="Times New Roman" w:eastAsia="Times New Roman" w:hAnsi="Times New Roman" w:cs="Times New Roman"/>
          <w:b/>
          <w:sz w:val="20"/>
          <w:szCs w:val="20"/>
          <w:lang w:val="en-US"/>
        </w:rPr>
        <w:t>31</w:t>
      </w:r>
      <w:r w:rsidR="00B53CD2" w:rsidRPr="002C420A">
        <w:rPr>
          <w:rFonts w:ascii="Times New Roman" w:eastAsia="Times New Roman" w:hAnsi="Times New Roman" w:cs="Times New Roman"/>
          <w:b/>
          <w:sz w:val="20"/>
          <w:szCs w:val="20"/>
        </w:rPr>
        <w:t>.</w:t>
      </w:r>
      <w:r w:rsidR="00B53CD2" w:rsidRPr="002C420A">
        <w:rPr>
          <w:rFonts w:ascii="Times New Roman" w:eastAsia="Times New Roman" w:hAnsi="Times New Roman" w:cs="Times New Roman"/>
          <w:b/>
          <w:sz w:val="20"/>
          <w:szCs w:val="20"/>
          <w:lang w:val="en-US"/>
        </w:rPr>
        <w:t>12</w:t>
      </w:r>
      <w:r w:rsidR="00B53CD2" w:rsidRPr="002C420A">
        <w:rPr>
          <w:rFonts w:ascii="Times New Roman" w:eastAsia="Times New Roman" w:hAnsi="Times New Roman" w:cs="Times New Roman"/>
          <w:b/>
          <w:sz w:val="20"/>
          <w:szCs w:val="20"/>
        </w:rPr>
        <w:t>.</w:t>
      </w:r>
      <w:r w:rsidR="00B53CD2">
        <w:rPr>
          <w:rFonts w:ascii="Times New Roman" w:eastAsia="Times New Roman" w:hAnsi="Times New Roman" w:cs="Times New Roman"/>
          <w:b/>
          <w:sz w:val="20"/>
          <w:szCs w:val="20"/>
          <w:lang w:val="en-US"/>
        </w:rPr>
        <w:t>202</w:t>
      </w:r>
      <w:r w:rsidR="00B53CD2">
        <w:rPr>
          <w:rFonts w:ascii="Times New Roman" w:eastAsia="Times New Roman" w:hAnsi="Times New Roman" w:cs="Times New Roman"/>
          <w:b/>
          <w:sz w:val="20"/>
          <w:szCs w:val="20"/>
        </w:rPr>
        <w:t>4</w:t>
      </w:r>
      <w:r w:rsidR="00B53CD2" w:rsidRPr="002C420A">
        <w:rPr>
          <w:rFonts w:ascii="Times New Roman" w:eastAsia="Times New Roman" w:hAnsi="Times New Roman" w:cs="Times New Roman"/>
          <w:b/>
          <w:sz w:val="20"/>
          <w:szCs w:val="20"/>
        </w:rPr>
        <w:t xml:space="preserve"> включно</w:t>
      </w:r>
      <w:r w:rsidR="00B53CD2" w:rsidRPr="00ED0D31">
        <w:rPr>
          <w:rFonts w:ascii="Times New Roman" w:eastAsia="Times New Roman" w:hAnsi="Times New Roman" w:cs="Times New Roman"/>
          <w:sz w:val="20"/>
          <w:szCs w:val="20"/>
        </w:rPr>
        <w:t>.</w:t>
      </w: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Pr="00AA577C" w:rsidRDefault="00B53CD2" w:rsidP="007F166A">
      <w:pPr>
        <w:autoSpaceDE w:val="0"/>
        <w:autoSpaceDN w:val="0"/>
        <w:adjustRightInd w:val="0"/>
        <w:spacing w:after="0"/>
        <w:rPr>
          <w:rFonts w:ascii="Times New Roman" w:hAnsi="Times New Roman" w:cs="Times New Roman"/>
          <w:sz w:val="20"/>
          <w:szCs w:val="20"/>
          <w:lang w:eastAsia="uk-UA"/>
        </w:rPr>
      </w:pPr>
    </w:p>
    <w:p w:rsidR="007F166A" w:rsidRPr="00AA577C" w:rsidRDefault="007F166A" w:rsidP="007F166A">
      <w:pPr>
        <w:shd w:val="clear" w:color="auto" w:fill="FFFFFF"/>
        <w:spacing w:after="0"/>
        <w:ind w:left="192"/>
        <w:jc w:val="center"/>
        <w:rPr>
          <w:rFonts w:ascii="Times New Roman" w:hAnsi="Times New Roman" w:cs="Times New Roman"/>
          <w:b/>
          <w:bCs/>
          <w:spacing w:val="-1"/>
          <w:sz w:val="20"/>
          <w:szCs w:val="20"/>
        </w:rPr>
      </w:pPr>
      <w:r w:rsidRPr="00AA577C">
        <w:rPr>
          <w:rFonts w:ascii="Times New Roman" w:hAnsi="Times New Roman" w:cs="Times New Roman"/>
          <w:b/>
          <w:bCs/>
          <w:spacing w:val="-1"/>
          <w:sz w:val="20"/>
          <w:szCs w:val="20"/>
        </w:rPr>
        <w:t>ПІДПИСИ СТОРІН</w:t>
      </w:r>
    </w:p>
    <w:p w:rsidR="007F166A" w:rsidRPr="00AA577C" w:rsidRDefault="007F166A" w:rsidP="007F166A">
      <w:pPr>
        <w:shd w:val="clear" w:color="auto" w:fill="FFFFFF"/>
        <w:spacing w:after="0"/>
        <w:ind w:left="192"/>
        <w:jc w:val="center"/>
        <w:rPr>
          <w:rFonts w:ascii="Times New Roman" w:hAnsi="Times New Roman" w:cs="Times New Roman"/>
          <w:b/>
          <w:bCs/>
          <w:spacing w:val="-1"/>
          <w:sz w:val="20"/>
          <w:szCs w:val="20"/>
        </w:rPr>
      </w:pPr>
    </w:p>
    <w:tbl>
      <w:tblPr>
        <w:tblW w:w="10065" w:type="dxa"/>
        <w:tblLayout w:type="fixed"/>
        <w:tblLook w:val="00A0" w:firstRow="1" w:lastRow="0" w:firstColumn="1" w:lastColumn="0" w:noHBand="0" w:noVBand="0"/>
      </w:tblPr>
      <w:tblGrid>
        <w:gridCol w:w="5032"/>
        <w:gridCol w:w="5033"/>
      </w:tblGrid>
      <w:tr w:rsidR="007F166A" w:rsidRPr="00AA577C" w:rsidTr="008136CC">
        <w:tc>
          <w:tcPr>
            <w:tcW w:w="5032" w:type="dxa"/>
          </w:tcPr>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b/>
                <w:sz w:val="20"/>
                <w:szCs w:val="20"/>
                <w:lang w:eastAsia="ar-SA"/>
              </w:rPr>
              <w:t>Постачальник</w:t>
            </w:r>
            <w:r w:rsidRPr="00AA577C">
              <w:rPr>
                <w:rFonts w:ascii="Times New Roman" w:hAnsi="Times New Roman" w:cs="Times New Roman"/>
                <w:sz w:val="20"/>
                <w:szCs w:val="20"/>
                <w:lang w:eastAsia="ar-SA"/>
              </w:rPr>
              <w:t xml:space="preserve"> </w:t>
            </w:r>
          </w:p>
          <w:p w:rsidR="007F166A" w:rsidRPr="00AA577C" w:rsidRDefault="007F166A" w:rsidP="007F166A">
            <w:pPr>
              <w:suppressAutoHyphens/>
              <w:spacing w:after="0"/>
              <w:contextualSpacing/>
              <w:jc w:val="both"/>
              <w:rPr>
                <w:rFonts w:ascii="Times New Roman" w:hAnsi="Times New Roman" w:cs="Times New Roman"/>
                <w:b/>
                <w:sz w:val="20"/>
                <w:szCs w:val="20"/>
                <w:lang w:eastAsia="ar-SA"/>
              </w:rPr>
            </w:pP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Керівник</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 (_______________________)</w:t>
            </w:r>
          </w:p>
        </w:tc>
        <w:tc>
          <w:tcPr>
            <w:tcW w:w="5033" w:type="dxa"/>
          </w:tcPr>
          <w:p w:rsidR="007F166A" w:rsidRPr="00AA577C" w:rsidRDefault="002040D9" w:rsidP="007F166A">
            <w:pPr>
              <w:suppressAutoHyphens/>
              <w:spacing w:after="0"/>
              <w:contextualSpacing/>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Замовник</w:t>
            </w:r>
          </w:p>
          <w:p w:rsidR="007F166A" w:rsidRPr="00AA577C" w:rsidRDefault="007F166A" w:rsidP="007F166A">
            <w:pPr>
              <w:spacing w:after="0"/>
              <w:rPr>
                <w:rFonts w:ascii="Times New Roman" w:hAnsi="Times New Roman" w:cs="Times New Roman"/>
                <w:b/>
                <w:color w:val="000000"/>
                <w:sz w:val="20"/>
                <w:szCs w:val="20"/>
              </w:rPr>
            </w:pP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p>
          <w:p w:rsidR="007F166A" w:rsidRPr="00AA577C" w:rsidRDefault="007F166A" w:rsidP="007F166A">
            <w:pPr>
              <w:tabs>
                <w:tab w:val="left" w:leader="underscore" w:pos="3523"/>
                <w:tab w:val="center" w:pos="4844"/>
              </w:tabs>
              <w:spacing w:after="0"/>
              <w:jc w:val="both"/>
              <w:rPr>
                <w:rFonts w:ascii="Times New Roman" w:hAnsi="Times New Roman" w:cs="Times New Roman"/>
                <w:bCs/>
                <w:sz w:val="20"/>
                <w:szCs w:val="20"/>
              </w:rPr>
            </w:pPr>
            <w:r w:rsidRPr="00AA577C">
              <w:rPr>
                <w:rFonts w:ascii="Times New Roman" w:hAnsi="Times New Roman" w:cs="Times New Roman"/>
                <w:bCs/>
                <w:sz w:val="20"/>
                <w:szCs w:val="20"/>
              </w:rPr>
              <w:t>Керівник</w:t>
            </w:r>
          </w:p>
          <w:p w:rsidR="007F166A" w:rsidRPr="00AA577C" w:rsidRDefault="007F166A" w:rsidP="007F166A">
            <w:pPr>
              <w:suppressAutoHyphens/>
              <w:spacing w:after="0"/>
              <w:contextualSpacing/>
              <w:jc w:val="both"/>
              <w:rPr>
                <w:rFonts w:ascii="Times New Roman" w:hAnsi="Times New Roman" w:cs="Times New Roman"/>
                <w:bCs/>
                <w:sz w:val="20"/>
                <w:szCs w:val="20"/>
              </w:rPr>
            </w:pPr>
            <w:r w:rsidRPr="00AA577C">
              <w:rPr>
                <w:rFonts w:ascii="Times New Roman" w:hAnsi="Times New Roman" w:cs="Times New Roman"/>
                <w:bCs/>
                <w:sz w:val="20"/>
                <w:szCs w:val="20"/>
              </w:rPr>
              <w:t>_________________ (_______________________)</w:t>
            </w:r>
          </w:p>
        </w:tc>
      </w:tr>
    </w:tbl>
    <w:p w:rsidR="007F166A" w:rsidRDefault="007F166A" w:rsidP="007F166A">
      <w:pPr>
        <w:spacing w:before="120" w:after="120"/>
        <w:rPr>
          <w:rFonts w:ascii="Times New Roman" w:hAnsi="Times New Roman" w:cs="Times New Roman"/>
          <w:b/>
          <w:sz w:val="20"/>
          <w:szCs w:val="20"/>
        </w:rPr>
      </w:pPr>
    </w:p>
    <w:sectPr w:rsidR="007F166A" w:rsidSect="00EE3FB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B0" w:rsidRDefault="00EE3FB0" w:rsidP="00EE3FB0">
      <w:pPr>
        <w:spacing w:after="0" w:line="240" w:lineRule="auto"/>
      </w:pPr>
      <w:r>
        <w:separator/>
      </w:r>
    </w:p>
  </w:endnote>
  <w:endnote w:type="continuationSeparator" w:id="0">
    <w:p w:rsidR="00EE3FB0" w:rsidRDefault="00EE3FB0" w:rsidP="00EE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0244"/>
      <w:docPartObj>
        <w:docPartGallery w:val="Page Numbers (Bottom of Page)"/>
        <w:docPartUnique/>
      </w:docPartObj>
    </w:sdtPr>
    <w:sdtEndPr/>
    <w:sdtContent>
      <w:p w:rsidR="00EE3FB0" w:rsidRDefault="00EE3FB0" w:rsidP="00EE3FB0">
        <w:pPr>
          <w:pStyle w:val="a6"/>
          <w:jc w:val="right"/>
        </w:pPr>
        <w:r>
          <w:fldChar w:fldCharType="begin"/>
        </w:r>
        <w:r>
          <w:instrText>PAGE   \* MERGEFORMAT</w:instrText>
        </w:r>
        <w:r>
          <w:fldChar w:fldCharType="separate"/>
        </w:r>
        <w:r w:rsidR="00A73AD0" w:rsidRPr="00A73AD0">
          <w:rPr>
            <w:noProof/>
            <w:lang w:val="ru-RU"/>
          </w:rPr>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B0" w:rsidRDefault="00EE3FB0" w:rsidP="00EE3FB0">
      <w:pPr>
        <w:spacing w:after="0" w:line="240" w:lineRule="auto"/>
      </w:pPr>
      <w:r>
        <w:separator/>
      </w:r>
    </w:p>
  </w:footnote>
  <w:footnote w:type="continuationSeparator" w:id="0">
    <w:p w:rsidR="00EE3FB0" w:rsidRDefault="00EE3FB0" w:rsidP="00EE3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142"/>
    <w:multiLevelType w:val="hybridMultilevel"/>
    <w:tmpl w:val="A77CF1B8"/>
    <w:lvl w:ilvl="0" w:tplc="FB36E5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B0"/>
    <w:rsid w:val="0005583F"/>
    <w:rsid w:val="001D192E"/>
    <w:rsid w:val="001D6892"/>
    <w:rsid w:val="001E5185"/>
    <w:rsid w:val="002040D9"/>
    <w:rsid w:val="006B43C3"/>
    <w:rsid w:val="007F166A"/>
    <w:rsid w:val="0080331D"/>
    <w:rsid w:val="00A73AD0"/>
    <w:rsid w:val="00B51A72"/>
    <w:rsid w:val="00B53CD2"/>
    <w:rsid w:val="00E431E9"/>
    <w:rsid w:val="00E96C4C"/>
    <w:rsid w:val="00EB44C0"/>
    <w:rsid w:val="00EE3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759B"/>
  <w15:chartTrackingRefBased/>
  <w15:docId w15:val="{F25A37C7-66AC-4D9F-A652-6B65CF05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B0"/>
    <w:pPr>
      <w:ind w:left="720"/>
      <w:contextualSpacing/>
    </w:pPr>
  </w:style>
  <w:style w:type="paragraph" w:styleId="a4">
    <w:name w:val="header"/>
    <w:basedOn w:val="a"/>
    <w:link w:val="a5"/>
    <w:uiPriority w:val="99"/>
    <w:unhideWhenUsed/>
    <w:rsid w:val="00EE3FB0"/>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EE3FB0"/>
  </w:style>
  <w:style w:type="paragraph" w:styleId="a6">
    <w:name w:val="footer"/>
    <w:basedOn w:val="a"/>
    <w:link w:val="a7"/>
    <w:uiPriority w:val="99"/>
    <w:unhideWhenUsed/>
    <w:rsid w:val="00EE3FB0"/>
    <w:pPr>
      <w:tabs>
        <w:tab w:val="center" w:pos="4513"/>
        <w:tab w:val="right" w:pos="9026"/>
      </w:tabs>
      <w:spacing w:after="0" w:line="240" w:lineRule="auto"/>
    </w:pPr>
  </w:style>
  <w:style w:type="character" w:customStyle="1" w:styleId="a7">
    <w:name w:val="Нижний колонтитул Знак"/>
    <w:basedOn w:val="a0"/>
    <w:link w:val="a6"/>
    <w:uiPriority w:val="99"/>
    <w:rsid w:val="00EE3FB0"/>
  </w:style>
  <w:style w:type="paragraph" w:styleId="a8">
    <w:name w:val="Balloon Text"/>
    <w:basedOn w:val="a"/>
    <w:link w:val="a9"/>
    <w:uiPriority w:val="99"/>
    <w:semiHidden/>
    <w:unhideWhenUsed/>
    <w:rsid w:val="00B53C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3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27047</Words>
  <Characters>15417</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Болградска ЦРЛ</dc:creator>
  <cp:keywords/>
  <dc:description/>
  <cp:lastModifiedBy>КНП Болградська ЦРЛ</cp:lastModifiedBy>
  <cp:revision>2</cp:revision>
  <cp:lastPrinted>2024-02-13T16:56:00Z</cp:lastPrinted>
  <dcterms:created xsi:type="dcterms:W3CDTF">2024-03-12T13:47:00Z</dcterms:created>
  <dcterms:modified xsi:type="dcterms:W3CDTF">2024-03-12T13:47:00Z</dcterms:modified>
</cp:coreProperties>
</file>