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2C2AEC">
      <w:pPr>
        <w:shd w:val="clear" w:color="auto" w:fill="FFFFFF"/>
      </w:pPr>
      <w:bookmarkStart w:id="0" w:name="_heading=h.30j0zll" w:colFirst="0" w:colLast="0"/>
      <w:bookmarkEnd w:id="0"/>
      <w:r>
        <w:rPr>
          <w:u w:val="single"/>
        </w:rPr>
        <w:t>24</w:t>
      </w:r>
      <w:r w:rsidR="00924FE5" w:rsidRPr="00924FE5">
        <w:rPr>
          <w:u w:val="single"/>
        </w:rPr>
        <w:t xml:space="preserve"> січня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9</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924FE5" w:rsidRPr="00924FE5">
        <w:rPr>
          <w:b/>
          <w:color w:val="000000"/>
        </w:rPr>
        <w:t xml:space="preserve">  Послуги</w:t>
      </w:r>
      <w:r w:rsidR="00451317">
        <w:rPr>
          <w:b/>
          <w:color w:val="000000"/>
        </w:rPr>
        <w:t xml:space="preserve"> з </w:t>
      </w:r>
      <w:r w:rsidR="00924FE5" w:rsidRPr="00924FE5">
        <w:rPr>
          <w:b/>
          <w:color w:val="000000"/>
        </w:rPr>
        <w:t xml:space="preserve"> </w:t>
      </w:r>
      <w:r w:rsidR="002C2AEC">
        <w:rPr>
          <w:b/>
          <w:color w:val="000000"/>
        </w:rPr>
        <w:t>постачання теплової енергії</w:t>
      </w:r>
      <w:r w:rsidR="00924FE5">
        <w:rPr>
          <w:color w:val="000000"/>
        </w:rPr>
        <w:t xml:space="preserve"> </w:t>
      </w:r>
      <w:r>
        <w:rPr>
          <w:color w:val="000000"/>
        </w:rPr>
        <w:t>за ДК 021:2015 Єдиного закупівельного словника</w:t>
      </w:r>
      <w:r w:rsidR="00924FE5">
        <w:rPr>
          <w:color w:val="000000"/>
        </w:rPr>
        <w:t xml:space="preserve"> </w:t>
      </w:r>
      <w:r w:rsidR="002C2AEC">
        <w:rPr>
          <w:b/>
          <w:color w:val="000000"/>
        </w:rPr>
        <w:t>09320000-8 – пара, гаряча вода та пов’язана продукція</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413441" w:rsidRDefault="00413441" w:rsidP="00413441">
      <w:pPr>
        <w:jc w:val="both"/>
      </w:pPr>
      <w:r>
        <w:t xml:space="preserve">        Згідно з Законом</w:t>
      </w:r>
      <w:r w:rsidRPr="001A2B1B">
        <w:t xml:space="preserve"> України «Про Публічні </w:t>
      </w:r>
      <w:r w:rsidRPr="00ED7C7C">
        <w:t>закупівлі»</w:t>
      </w:r>
      <w:r w:rsidRPr="00C97CD0">
        <w:t xml:space="preserve"> (далі — Закон)</w:t>
      </w:r>
      <w:r>
        <w:t xml:space="preserve"> №922-</w:t>
      </w:r>
      <w:r>
        <w:rPr>
          <w:lang w:val="en-US"/>
        </w:rPr>
        <w:t>VIII</w:t>
      </w:r>
      <w:r>
        <w:t xml:space="preserve"> від 25.12.2015р. (зі змінами), постановою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w:t>
      </w:r>
      <w:r w:rsidRPr="00B22916">
        <w:t>України «Про теплопостачання» №2633 –</w:t>
      </w:r>
      <w:r w:rsidRPr="00B22916">
        <w:rPr>
          <w:lang w:val="en-US"/>
        </w:rPr>
        <w:t>IV</w:t>
      </w:r>
      <w:r w:rsidRPr="00B22916">
        <w:t xml:space="preserve"> від 02.06.2005 р. (із змінами)</w:t>
      </w:r>
      <w:r w:rsidRPr="00B22916">
        <w:rPr>
          <w:shd w:val="clear" w:color="auto" w:fill="FFFFFF"/>
        </w:rPr>
        <w:t>.</w:t>
      </w:r>
      <w:r>
        <w:rPr>
          <w:shd w:val="clear" w:color="auto" w:fill="FFFFFF"/>
        </w:rPr>
        <w:t xml:space="preserve"> </w:t>
      </w:r>
      <w:r w:rsidRPr="00B22916">
        <w:t>Статтею 1 Закону України "Про природні монополії" встановлено, що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виробляється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Виходячи з частини першої статті 5 Закону України «Про природні монополії», до сфери діяльності природних монополій віднесено, зокрема, послуги з транспортування теплової енергії.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у відповідності з частиною другою статті 4 Закону України «Про природні монополії». Частиною 2 статті 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(далі – АМКУ) відповідно до його повноважень. Згідно з розпорядженням АМКУ від 28.11.2012 р. № 874-р «Про затвердження Порядку складання та ведення зведеного переліку суб`єктів природних монополій», перелік суб`єктів природних монополій складається, ведеться АМКУ і в установленому порядку розміщується на офіційному веб-сайті Антимонопольного комітету України (</w:t>
      </w:r>
      <w:proofErr w:type="spellStart"/>
      <w:r w:rsidRPr="00B22916">
        <w:t>www.amc.gov.ua</w:t>
      </w:r>
      <w:proofErr w:type="spellEnd"/>
      <w:r w:rsidRPr="00B22916">
        <w:t xml:space="preserve">). Внесення суб'єктів природних монополій до Зведеного переліку </w:t>
      </w:r>
      <w:r w:rsidRPr="00B22916">
        <w:lastRenderedPageBreak/>
        <w:t>здійснюється Комітетом на підставі реєстрів, отриманих від Національної комісії, що здійснює державне регулювання у сфері комунальних послуг (у сфері: централізованого водопостачання та водовідведення; транспортування теплової енергії). За останньою інформацією, яка розмі</w:t>
      </w:r>
      <w:r>
        <w:t>щена на сайті АМКУ, а саме: 31.12.2023</w:t>
      </w:r>
      <w:r w:rsidRPr="00B22916">
        <w:t xml:space="preserve"> р. Комунальне підприємство «</w:t>
      </w:r>
      <w:proofErr w:type="spellStart"/>
      <w:r w:rsidRPr="00B22916">
        <w:t>Вінницяоблтеплоенерго</w:t>
      </w:r>
      <w:proofErr w:type="spellEnd"/>
      <w:r w:rsidRPr="00B22916">
        <w:t>» (код ЄДРПОУ 33649363) включено до Зведеного переліку суб'єктів природних монополій (порядковий номер в переліку - № 84 сторінка 218), який розміщений на офіційному сайті за адресою: ((https://amcu.gov.ua/napryami/konkurenciya/arhiv-zvedenogo-pereliku-prirodnih-monopolij; https://amcu.gov.ua/storage/app/sites/1/uploaded-files/%D0%96%D0%9E%D0%92%D0%A2%D0%95% D0%9D%D0%AC%20.pdf). Таким чином, Комунальне підприємство «</w:t>
      </w:r>
      <w:proofErr w:type="spellStart"/>
      <w:r w:rsidRPr="00B22916">
        <w:t>Вінницяоблтеплоенерго</w:t>
      </w:r>
      <w:proofErr w:type="spellEnd"/>
      <w:r w:rsidRPr="00B22916">
        <w:t xml:space="preserve">» (код ЄДРПОУ 33649363) є єдиним </w:t>
      </w:r>
      <w:proofErr w:type="spellStart"/>
      <w:r w:rsidRPr="00B22916">
        <w:t>надавачем</w:t>
      </w:r>
      <w:proofErr w:type="spellEnd"/>
      <w:r w:rsidRPr="00B22916">
        <w:t xml:space="preserve"> послуг з транспортування теплової енергії на території Вінницької області. Інформація щодо Переліку суб`єктів природних монополій, розміщена на офіційному веб-сайті Антимонопольного комітету України, є офіційною інформацією державного органу. </w:t>
      </w:r>
      <w:r>
        <w:t xml:space="preserve"> </w:t>
      </w:r>
    </w:p>
    <w:p w:rsidR="00413441" w:rsidRPr="00006F9C" w:rsidRDefault="00413441" w:rsidP="00413441">
      <w:pPr>
        <w:jc w:val="both"/>
        <w:rPr>
          <w:shd w:val="clear" w:color="auto" w:fill="FFFFFF"/>
        </w:rPr>
      </w:pPr>
      <w:r>
        <w:t>Відповідно до п13., 5</w:t>
      </w:r>
      <w:r w:rsidRPr="00006F9C">
        <w:t xml:space="preserve"> </w:t>
      </w:r>
      <w:r>
        <w:t xml:space="preserve">постанови Кабінету Міністрів України від 12 жовтня 2022 року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shd w:val="clear" w:color="auto" w:fill="FFFFFF"/>
        </w:rPr>
        <w:t>п</w:t>
      </w:r>
      <w:r w:rsidRPr="00ED7C7C">
        <w:rPr>
          <w:shd w:val="clear" w:color="auto" w:fill="FFFFFF"/>
        </w:rPr>
        <w:t xml:space="preserve">ропонується здійснити </w:t>
      </w:r>
      <w:r>
        <w:rPr>
          <w:shd w:val="clear" w:color="auto" w:fill="FFFFFF"/>
        </w:rPr>
        <w:t>зазначену</w:t>
      </w:r>
      <w:r w:rsidRPr="00ED7C7C">
        <w:rPr>
          <w:shd w:val="clear" w:color="auto" w:fill="FFFFFF"/>
        </w:rPr>
        <w:t xml:space="preserve"> закупівл</w:t>
      </w:r>
      <w:r>
        <w:rPr>
          <w:shd w:val="clear" w:color="auto" w:fill="FFFFFF"/>
        </w:rPr>
        <w:t>ю</w:t>
      </w:r>
      <w:r w:rsidRPr="00ED7C7C">
        <w:rPr>
          <w:shd w:val="clear" w:color="auto" w:fill="FFFFFF"/>
        </w:rPr>
        <w:t xml:space="preserve"> </w:t>
      </w:r>
      <w:r w:rsidRPr="00AA19A1">
        <w:rPr>
          <w:shd w:val="clear" w:color="auto" w:fill="FFFFFF"/>
        </w:rPr>
        <w:t>без використання електронної системи закупівель</w:t>
      </w:r>
      <w:r>
        <w:rPr>
          <w:shd w:val="clear" w:color="auto" w:fill="FFFFFF"/>
        </w:rPr>
        <w:t xml:space="preserve"> та затвердити </w:t>
      </w:r>
      <w:proofErr w:type="spellStart"/>
      <w:r>
        <w:rPr>
          <w:shd w:val="clear" w:color="auto" w:fill="FFFFFF"/>
        </w:rPr>
        <w:t>проєкт</w:t>
      </w:r>
      <w:proofErr w:type="spellEnd"/>
      <w:r>
        <w:rPr>
          <w:shd w:val="clear" w:color="auto" w:fill="FFFFFF"/>
        </w:rPr>
        <w:t xml:space="preserve"> договору про закупівлю.</w:t>
      </w:r>
    </w:p>
    <w:p w:rsidR="00413441" w:rsidRPr="00ED7C7C" w:rsidRDefault="00413441" w:rsidP="00413441">
      <w:pPr>
        <w:jc w:val="both"/>
        <w:rPr>
          <w:shd w:val="clear" w:color="auto" w:fill="FFFFFF"/>
        </w:rPr>
      </w:pPr>
      <w:r w:rsidRPr="00ED7C7C">
        <w:rPr>
          <w:shd w:val="clear" w:color="auto" w:fill="FFFFFF"/>
        </w:rPr>
        <w:t xml:space="preserve"> </w:t>
      </w:r>
      <w:r>
        <w:rPr>
          <w:shd w:val="clear" w:color="auto" w:fill="FFFFFF"/>
        </w:rPr>
        <w:t>З</w:t>
      </w:r>
      <w:r w:rsidRPr="00ED7C7C">
        <w:rPr>
          <w:shd w:val="clear" w:color="auto" w:fill="FFFFFF"/>
        </w:rPr>
        <w:t>амовник повинен дотримуватися принципів здійснення публічних закупівель</w:t>
      </w:r>
      <w:r>
        <w:rPr>
          <w:shd w:val="clear" w:color="auto" w:fill="FFFFFF"/>
        </w:rPr>
        <w:t xml:space="preserve"> та обов’язково </w:t>
      </w:r>
      <w:r w:rsidRPr="00AA19A1">
        <w:rPr>
          <w:shd w:val="clear" w:color="auto" w:fill="FFFFFF"/>
        </w:rPr>
        <w:t>оприлюднити в електронній системі закупівель відповідно до </w:t>
      </w:r>
      <w:hyperlink r:id="rId7" w:anchor="n1039" w:history="1">
        <w:r w:rsidRPr="00AA19A1">
          <w:t>статті 10</w:t>
        </w:r>
      </w:hyperlink>
      <w:r>
        <w:rPr>
          <w:shd w:val="clear" w:color="auto" w:fill="FFFFFF"/>
        </w:rPr>
        <w:t xml:space="preserve"> </w:t>
      </w:r>
      <w:r w:rsidRPr="00AA19A1">
        <w:rPr>
          <w:shd w:val="clear" w:color="auto" w:fill="FFFFFF"/>
        </w:rPr>
        <w:t>Закону звіт про договір про закупівлю, укладений без використання електронної системи закупівель</w:t>
      </w:r>
      <w:r w:rsidRPr="00ED7C7C">
        <w:rPr>
          <w:shd w:val="clear" w:color="auto" w:fill="FFFFFF"/>
        </w:rPr>
        <w:t>.</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lastRenderedPageBreak/>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200148" cy="676275"/>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199947" cy="676162"/>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A120AA" w:rsidRDefault="00A120AA">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 xml:space="preserve">акупівлі (лотів) (за наявності): </w:t>
      </w:r>
      <w:proofErr w:type="spellStart"/>
      <w:r w:rsidR="006E368D" w:rsidRPr="006E368D">
        <w:rPr>
          <w:b/>
          <w:color w:val="000000"/>
        </w:rPr>
        <w:t>Послуги</w:t>
      </w:r>
      <w:r w:rsidR="00A120AA">
        <w:rPr>
          <w:b/>
          <w:color w:val="000000"/>
        </w:rPr>
        <w:t>з</w:t>
      </w:r>
      <w:proofErr w:type="spellEnd"/>
      <w:r w:rsidR="00A120AA">
        <w:rPr>
          <w:b/>
          <w:color w:val="000000"/>
        </w:rPr>
        <w:t xml:space="preserve"> постачання теплової енергії</w:t>
      </w:r>
      <w:r w:rsidR="006E368D">
        <w:rPr>
          <w:color w:val="000000"/>
        </w:rPr>
        <w:t xml:space="preserve"> за ДК 021:2015 Єдиного закупівельного словника </w:t>
      </w:r>
      <w:r w:rsidR="00A120AA">
        <w:rPr>
          <w:b/>
          <w:color w:val="000000"/>
        </w:rPr>
        <w:t>09320000-8 – пара, гаряча вода та пов’язана продукція</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Pr="00A120AA" w:rsidRDefault="00057E65">
      <w:pPr>
        <w:pBdr>
          <w:top w:val="nil"/>
          <w:left w:val="nil"/>
          <w:bottom w:val="nil"/>
          <w:right w:val="nil"/>
          <w:between w:val="nil"/>
        </w:pBdr>
        <w:shd w:val="clear" w:color="auto" w:fill="FFFFFF"/>
        <w:spacing w:after="150"/>
        <w:jc w:val="both"/>
        <w:rPr>
          <w:b/>
          <w:i/>
          <w:color w:val="000000"/>
        </w:rPr>
      </w:pPr>
      <w:r>
        <w:rPr>
          <w:color w:val="000000"/>
        </w:rPr>
        <w:t>3.Розмір бюджетного призначення та/або очікувана вартість предмета  закупівлі:</w:t>
      </w:r>
      <w:r w:rsidR="00A120AA">
        <w:rPr>
          <w:color w:val="000000"/>
        </w:rPr>
        <w:t xml:space="preserve"> </w:t>
      </w:r>
      <w:r w:rsidR="00A120AA" w:rsidRPr="00A120AA">
        <w:rPr>
          <w:b/>
          <w:color w:val="000000"/>
        </w:rPr>
        <w:t>1589000</w:t>
      </w:r>
      <w:r w:rsidR="00A120AA">
        <w:rPr>
          <w:b/>
          <w:color w:val="000000"/>
        </w:rPr>
        <w:t>,00</w:t>
      </w:r>
      <w:r w:rsidR="006E368D" w:rsidRPr="006E368D">
        <w:rPr>
          <w:b/>
          <w:color w:val="000000"/>
        </w:rPr>
        <w:t>грн</w:t>
      </w:r>
      <w:r w:rsidR="006E368D">
        <w:rPr>
          <w:color w:val="000000"/>
        </w:rPr>
        <w:t>.</w:t>
      </w:r>
      <w:r w:rsidR="00A120AA">
        <w:rPr>
          <w:color w:val="000000"/>
        </w:rPr>
        <w:t xml:space="preserve"> </w:t>
      </w:r>
      <w:r w:rsidR="00A120AA" w:rsidRPr="00A120AA">
        <w:rPr>
          <w:b/>
          <w:i/>
          <w:color w:val="000000"/>
        </w:rPr>
        <w:t>(один мільйон п’ятсот вісімдесят дев’ять тисяч гривень 00 копійок)</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9"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A120AA">
        <w:rPr>
          <w:b/>
          <w:color w:val="000000"/>
        </w:rPr>
        <w:t>КЕКВ 2271</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941707">
        <w:rPr>
          <w:color w:val="000000"/>
        </w:rPr>
        <w:t>24</w:t>
      </w:r>
      <w:r w:rsidR="00D17CBF">
        <w:rPr>
          <w:color w:val="000000"/>
        </w:rPr>
        <w:t xml:space="preserve"> січня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199947" cy="79044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055BAA">
        <w:rPr>
          <w:b/>
          <w:color w:val="000000"/>
          <w:u w:val="single"/>
        </w:rPr>
        <w:t>24</w:t>
      </w:r>
      <w:r w:rsidR="00EC46ED" w:rsidRPr="00EC46ED">
        <w:rPr>
          <w:b/>
          <w:color w:val="000000"/>
          <w:u w:val="single"/>
        </w:rPr>
        <w:t xml:space="preserve"> січня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055BAA">
        <w:rPr>
          <w:b/>
          <w:color w:val="000000"/>
          <w:u w:val="single"/>
        </w:rPr>
        <w:t>№ Т - 159</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055BAA" w:rsidRPr="00055BAA">
        <w:rPr>
          <w:b/>
          <w:i/>
          <w:color w:val="000000"/>
          <w:u w:val="single"/>
        </w:rPr>
        <w:t>Комунальне підприємство «</w:t>
      </w:r>
      <w:proofErr w:type="spellStart"/>
      <w:r w:rsidR="00055BAA" w:rsidRPr="00055BAA">
        <w:rPr>
          <w:b/>
          <w:i/>
          <w:color w:val="000000"/>
          <w:u w:val="single"/>
        </w:rPr>
        <w:t>Вінницяоблтеплоенерго</w:t>
      </w:r>
      <w:proofErr w:type="spellEnd"/>
      <w:r w:rsidR="00055BAA" w:rsidRPr="00055BAA">
        <w:rPr>
          <w:b/>
          <w:i/>
          <w:color w:val="000000"/>
          <w:u w:val="single"/>
        </w:rPr>
        <w:t>»</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55BAA">
        <w:rPr>
          <w:b/>
          <w:color w:val="000000"/>
          <w:u w:val="single"/>
        </w:rPr>
        <w:t xml:space="preserve"> 33649363</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055BAA">
        <w:rPr>
          <w:b/>
          <w:color w:val="000000"/>
          <w:u w:val="single"/>
        </w:rPr>
        <w:t xml:space="preserve"> Вінницька обл.., м. Вінниця, вул.. Вишнева, 24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8412BD">
        <w:rPr>
          <w:b/>
          <w:color w:val="000000"/>
          <w:u w:val="single"/>
        </w:rPr>
        <w:t>68-06-30</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1D294E" w:rsidRPr="006E368D">
        <w:rPr>
          <w:b/>
          <w:color w:val="000000"/>
        </w:rPr>
        <w:t xml:space="preserve">Послуги </w:t>
      </w:r>
      <w:r w:rsidR="008412BD">
        <w:rPr>
          <w:b/>
          <w:color w:val="000000"/>
        </w:rPr>
        <w:t xml:space="preserve">з постачання теплової енергії </w:t>
      </w:r>
      <w:r w:rsidR="001D294E">
        <w:rPr>
          <w:color w:val="000000"/>
        </w:rPr>
        <w:t xml:space="preserve">за ДК 021:2015 Єдиного закупівельного словника </w:t>
      </w:r>
      <w:r w:rsidR="008412BD">
        <w:rPr>
          <w:b/>
          <w:color w:val="000000"/>
        </w:rPr>
        <w:t>09320000-8 – пара, гаряча вода та пов’язана продукція.</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1D294E" w:rsidRPr="001D294E">
        <w:rPr>
          <w:b/>
          <w:color w:val="000000"/>
          <w:u w:val="single"/>
        </w:rPr>
        <w:t>1 послуга</w:t>
      </w:r>
      <w:r>
        <w:rPr>
          <w:color w:val="000000"/>
        </w:rPr>
        <w:t xml:space="preserve"> </w:t>
      </w:r>
      <w:r w:rsidR="008412BD" w:rsidRPr="008412BD">
        <w:rPr>
          <w:b/>
          <w:color w:val="000000"/>
        </w:rPr>
        <w:t xml:space="preserve">( 381,0716 </w:t>
      </w:r>
      <w:proofErr w:type="spellStart"/>
      <w:r w:rsidR="008412BD" w:rsidRPr="008412BD">
        <w:rPr>
          <w:b/>
          <w:color w:val="000000"/>
        </w:rPr>
        <w:t>Гкал</w:t>
      </w:r>
      <w:proofErr w:type="spellEnd"/>
      <w:r w:rsidR="008412BD" w:rsidRPr="008412BD">
        <w:rPr>
          <w:b/>
          <w:color w:val="000000"/>
        </w:rPr>
        <w:t>)</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lastRenderedPageBreak/>
        <w:t>7.2. Строк поставки товарів, виконання робіт чи надання послуг</w:t>
      </w:r>
      <w:r w:rsidRPr="001D294E">
        <w:rPr>
          <w:color w:val="000000"/>
        </w:rPr>
        <w:t>:</w:t>
      </w:r>
      <w:r w:rsidR="001D294E">
        <w:rPr>
          <w:color w:val="000000"/>
        </w:rPr>
        <w:t xml:space="preserve"> </w:t>
      </w:r>
      <w:r w:rsidR="008412BD">
        <w:rPr>
          <w:b/>
          <w:color w:val="000000"/>
          <w:u w:val="single"/>
        </w:rPr>
        <w:t xml:space="preserve">включно  до </w:t>
      </w:r>
      <w:r w:rsidR="001D294E" w:rsidRPr="001D294E">
        <w:rPr>
          <w:b/>
          <w:color w:val="000000"/>
          <w:u w:val="single"/>
        </w:rPr>
        <w:t>31.12.2024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r w:rsidR="008412BD">
        <w:rPr>
          <w:b/>
          <w:color w:val="000000"/>
          <w:u w:val="single"/>
        </w:rPr>
        <w:t xml:space="preserve">4169,82 </w:t>
      </w:r>
      <w:proofErr w:type="spellStart"/>
      <w:r w:rsidR="008412BD">
        <w:rPr>
          <w:b/>
          <w:color w:val="000000"/>
          <w:u w:val="single"/>
        </w:rPr>
        <w:t>грн</w:t>
      </w:r>
      <w:proofErr w:type="spellEnd"/>
      <w:r w:rsidR="008412BD">
        <w:rPr>
          <w:b/>
          <w:color w:val="000000"/>
          <w:u w:val="single"/>
        </w:rPr>
        <w:t xml:space="preserve"> (з ПДВ)</w:t>
      </w:r>
      <w:r w:rsidR="001D294E" w:rsidRPr="001D294E">
        <w:rPr>
          <w:b/>
          <w:color w:val="000000"/>
          <w:u w:val="single"/>
        </w:rPr>
        <w:t xml:space="preserve"> </w:t>
      </w:r>
      <w:r w:rsidR="008412BD">
        <w:rPr>
          <w:b/>
          <w:color w:val="000000"/>
          <w:u w:val="single"/>
        </w:rPr>
        <w:t xml:space="preserve"> за 1 </w:t>
      </w:r>
      <w:proofErr w:type="spellStart"/>
      <w:r w:rsidR="008412BD">
        <w:rPr>
          <w:b/>
          <w:color w:val="000000"/>
          <w:u w:val="single"/>
        </w:rPr>
        <w:t>Гкал</w:t>
      </w:r>
      <w:proofErr w:type="spellEnd"/>
      <w:r w:rsidR="008412BD">
        <w:rPr>
          <w:b/>
          <w:color w:val="000000"/>
          <w:u w:val="single"/>
        </w:rPr>
        <w:t>.</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152144"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152330" cy="724017"/>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bookmarkStart w:id="19" w:name="_GoBack"/>
      <w:bookmarkEnd w:id="19"/>
    </w:p>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111C6"/>
    <w:rsid w:val="00055BAA"/>
    <w:rsid w:val="00057E65"/>
    <w:rsid w:val="001D294E"/>
    <w:rsid w:val="001F66CC"/>
    <w:rsid w:val="002C2AEC"/>
    <w:rsid w:val="004063C6"/>
    <w:rsid w:val="00413441"/>
    <w:rsid w:val="00451317"/>
    <w:rsid w:val="004F0DAB"/>
    <w:rsid w:val="00656262"/>
    <w:rsid w:val="006E368D"/>
    <w:rsid w:val="007D0109"/>
    <w:rsid w:val="008035B7"/>
    <w:rsid w:val="008412BD"/>
    <w:rsid w:val="008579CF"/>
    <w:rsid w:val="00924FE5"/>
    <w:rsid w:val="00941707"/>
    <w:rsid w:val="00986E62"/>
    <w:rsid w:val="00A120AA"/>
    <w:rsid w:val="00D17CBF"/>
    <w:rsid w:val="00EC46ED"/>
    <w:rsid w:val="00F7658E"/>
    <w:rsid w:val="00FC6034"/>
    <w:rsid w:val="00FE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2024-01-24T13:23:00Z</cp:lastPrinted>
  <dcterms:created xsi:type="dcterms:W3CDTF">2024-01-23T10:33:00Z</dcterms:created>
  <dcterms:modified xsi:type="dcterms:W3CDTF">2024-01-24T13:38:00Z</dcterms:modified>
</cp:coreProperties>
</file>