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AA7A00">
        <w:trPr>
          <w:jc w:val="right"/>
        </w:trPr>
        <w:tc>
          <w:tcPr>
            <w:tcW w:w="6400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7A00" w:rsidRPr="00A0641A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AA7A00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AA7A00" w:rsidRDefault="00AA7A00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A00" w:rsidRDefault="00AA7A00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Послуги з утримання зелених насаджень,</w:t>
      </w:r>
    </w:p>
    <w:p w:rsidR="00AA7A00" w:rsidRDefault="00AA7A00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AA7A00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A7A00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Надання послуг має відповідати вимогам, що встановлені Законом України «Про благоустрій населених пунктів», Порядком проведення ремонту та утримання об’єктів благоустрою населених пунктів, затвердженим наказом Держкомітету України з питань житлово-комунального господарства від 23 вересня 2003 року № 154,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іншими діючими нормативно-правовими актами України у сфері благоустрою та зеленого господарства.  </w:t>
      </w:r>
    </w:p>
    <w:p w:rsidR="00AA7A00" w:rsidRDefault="00AA7A00" w:rsidP="00AA7A00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Місце надання послуг: 20300, Україна, Черкаська область, місто Умань, село </w:t>
      </w:r>
      <w:proofErr w:type="spellStart"/>
      <w:r>
        <w:rPr>
          <w:rFonts w:ascii="Times New Roman" w:hAnsi="Times New Roman"/>
          <w:sz w:val="24"/>
          <w:szCs w:val="24"/>
        </w:rPr>
        <w:t>Полянецьке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</w:t>
      </w:r>
      <w:proofErr w:type="spellStart"/>
      <w:r>
        <w:rPr>
          <w:rFonts w:ascii="Times New Roman" w:hAnsi="Times New Roman"/>
          <w:sz w:val="24"/>
          <w:szCs w:val="24"/>
        </w:rPr>
        <w:t>трухнявих</w:t>
      </w:r>
      <w:proofErr w:type="spellEnd"/>
      <w:r>
        <w:rPr>
          <w:rFonts w:ascii="Times New Roman" w:hAnsi="Times New Roman"/>
          <w:sz w:val="24"/>
          <w:szCs w:val="24"/>
        </w:rPr>
        <w:t xml:space="preserve">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 xml:space="preserve">на земельній ділянці с. </w:t>
      </w:r>
      <w:proofErr w:type="spellStart"/>
      <w:r w:rsidRPr="000B5C97">
        <w:rPr>
          <w:rFonts w:ascii="Times New Roman" w:hAnsi="Times New Roman"/>
          <w:sz w:val="24"/>
          <w:szCs w:val="24"/>
        </w:rPr>
        <w:t>Собківка</w:t>
      </w:r>
      <w:proofErr w:type="spellEnd"/>
      <w:r w:rsidRPr="000B5C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C97">
        <w:rPr>
          <w:rFonts w:ascii="Times New Roman" w:hAnsi="Times New Roman"/>
          <w:sz w:val="24"/>
          <w:szCs w:val="24"/>
        </w:rPr>
        <w:t>Дмитрушківська</w:t>
      </w:r>
      <w:proofErr w:type="spellEnd"/>
      <w:r w:rsidRPr="000B5C97">
        <w:rPr>
          <w:rFonts w:ascii="Times New Roman" w:hAnsi="Times New Roman"/>
          <w:sz w:val="24"/>
          <w:szCs w:val="24"/>
        </w:rPr>
        <w:t xml:space="preserve">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Деревина, яка відповідає вимогам паливних дров,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</w:t>
      </w:r>
      <w:r w:rsidRPr="00AA7A00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році, наданих Замовнику Управлінням праці та соціального захисту населення Уманської міської ради. Способом документального підтвердження учасником виконання зазначеної вище вимоги є відповідний гарантійний лист, складений Учасником у довільній формі.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D05FB" w:rsidRDefault="00AD05FB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6. Обсяг та кількість надання послуг: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7A00" w:rsidRPr="00423807" w:rsidRDefault="00AA7A00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tbl>
      <w:tblPr>
        <w:tblW w:w="96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828"/>
        <w:gridCol w:w="1209"/>
        <w:gridCol w:w="1059"/>
        <w:gridCol w:w="1559"/>
        <w:gridCol w:w="1419"/>
      </w:tblGrid>
      <w:tr w:rsidR="00AA7A00" w:rsidTr="008B7B85">
        <w:trPr>
          <w:trHeight w:val="276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 і витрат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Одиницявиміру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 за одиницю, грн.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Всього, грн.</w:t>
            </w:r>
          </w:p>
        </w:tc>
      </w:tr>
      <w:tr w:rsidR="00AA7A00" w:rsidTr="008B7B85">
        <w:trPr>
          <w:trHeight w:val="276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7A00" w:rsidTr="00AA7A00"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0" w:rsidRDefault="00AA7A00" w:rsidP="00AA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Скошування декоративних газонів газонокосарками з бензиновим двигуном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AA7A00">
        <w:trPr>
          <w:trHeight w:val="2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Санітарне обрізання дерев</w:t>
            </w:r>
          </w:p>
        </w:tc>
      </w:tr>
      <w:tr w:rsidR="00AA7A00" w:rsidTr="00AA7A00">
        <w:trPr>
          <w:trHeight w:val="2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Санітарне обрізання гілок дерев із застосуванням </w:t>
            </w:r>
            <w:proofErr w:type="spellStart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автогідропідіймачів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AA7A00">
        <w:trPr>
          <w:trHeight w:val="2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Санітарне обрізання гілок дерев та порослі вручну в міських умовах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B17B0F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D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 зрізаних гілок та деревини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B17B0F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D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Перевезення гілля та деревини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B17B0F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D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із поводження з відходами (захоронення) на сміттєзвалищі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8B7B85">
        <w:trPr>
          <w:trHeight w:val="28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Формувальне обрізання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</w:t>
            </w:r>
          </w:p>
        </w:tc>
      </w:tr>
      <w:tr w:rsidR="00AA7A00" w:rsidTr="00E4517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D05FB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Формувальне обрізання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A7A00"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олардинг</w:t>
            </w:r>
            <w:proofErr w:type="spellEnd"/>
            <w:r w:rsidR="00AA7A00"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дерев бензомоторною пилкою, </w:t>
            </w:r>
            <w:proofErr w:type="spellStart"/>
            <w:r w:rsidR="00AA7A00"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мотоножицями</w:t>
            </w:r>
            <w:proofErr w:type="spellEnd"/>
            <w:r w:rsidR="00AA7A00"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ручними секаторами, ручними ножівками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E4517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 зрізаних гілок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E4517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Перевезення гілля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E4517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із поводження з відходами (захоронення) на сміттєзвалищі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RPr="009464D1" w:rsidTr="008B7B85">
        <w:trPr>
          <w:trHeight w:val="28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Догляд за чагарниками, хвойними кущами</w:t>
            </w:r>
          </w:p>
        </w:tc>
      </w:tr>
      <w:tr w:rsidR="00AA7A00" w:rsidTr="007D0CC4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Санітарне та формувальне обрізання масиву ялівцю </w:t>
            </w:r>
            <w:proofErr w:type="spellStart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мотоножицями</w:t>
            </w:r>
            <w:proofErr w:type="spellEnd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ручними секаторами, ручними ножівками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Tr="007D0CC4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0" w:rsidRPr="00AA7A00" w:rsidRDefault="00AA7A00" w:rsidP="00A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Санітарне та формувальне обрізання масивів </w:t>
            </w:r>
            <w:proofErr w:type="spellStart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спіреї</w:t>
            </w:r>
            <w:proofErr w:type="spellEnd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мотоножицями</w:t>
            </w:r>
            <w:proofErr w:type="spellEnd"/>
            <w:r w:rsidRPr="00AA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ручними секаторами, ручними ножівками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D05FB" w:rsidP="00A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AA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00" w:rsidRPr="009464D1" w:rsidTr="008B7B85">
        <w:trPr>
          <w:trHeight w:val="285"/>
        </w:trPr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00" w:rsidRDefault="00AA7A00" w:rsidP="008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ПДВ/без ПДВ</w:t>
            </w:r>
            <w:r>
              <w:rPr>
                <w:rStyle w:val="aa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грн: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0" w:rsidRDefault="00AA7A00" w:rsidP="008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A00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>
        <w:rPr>
          <w:rFonts w:ascii="Times New Roman" w:hAnsi="Times New Roman"/>
          <w:sz w:val="24"/>
          <w:szCs w:val="24"/>
        </w:rPr>
        <w:t>доручатимуться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виконання третім особам або субпідрядникам.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AA7A00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464D1" w:rsidRDefault="009464D1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37" w:rsidRDefault="006F2F37" w:rsidP="00C80C46">
      <w:pPr>
        <w:spacing w:after="0" w:line="240" w:lineRule="auto"/>
      </w:pPr>
      <w:r>
        <w:separator/>
      </w:r>
    </w:p>
  </w:endnote>
  <w:endnote w:type="continuationSeparator" w:id="0">
    <w:p w:rsidR="006F2F37" w:rsidRDefault="006F2F37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37" w:rsidRDefault="006F2F37" w:rsidP="00C80C46">
      <w:pPr>
        <w:spacing w:after="0" w:line="240" w:lineRule="auto"/>
      </w:pPr>
      <w:r>
        <w:separator/>
      </w:r>
    </w:p>
  </w:footnote>
  <w:footnote w:type="continuationSeparator" w:id="0">
    <w:p w:rsidR="006F2F37" w:rsidRDefault="006F2F37" w:rsidP="00C80C46">
      <w:pPr>
        <w:spacing w:after="0" w:line="240" w:lineRule="auto"/>
      </w:pPr>
      <w:r>
        <w:continuationSeparator/>
      </w:r>
    </w:p>
  </w:footnote>
  <w:footnote w:id="1">
    <w:p w:rsidR="00AA7A00" w:rsidRDefault="00AA7A00" w:rsidP="00AA7A0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3C52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57A4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64E2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57E9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2F37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2DE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27D2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A7A00"/>
    <w:rsid w:val="00AB1FD6"/>
    <w:rsid w:val="00AC0637"/>
    <w:rsid w:val="00AD05FB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41C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E47A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E5B2-3E62-4DBB-82F6-FB9C211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2023-05-22T04:56:00Z</cp:lastPrinted>
  <dcterms:created xsi:type="dcterms:W3CDTF">2024-02-12T09:20:00Z</dcterms:created>
  <dcterms:modified xsi:type="dcterms:W3CDTF">2024-02-29T12:31:00Z</dcterms:modified>
</cp:coreProperties>
</file>