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B2" w:rsidRDefault="009732B2" w:rsidP="009732B2">
      <w:pPr>
        <w:tabs>
          <w:tab w:val="left" w:pos="6804"/>
        </w:tabs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146095577"/>
      <w:r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9732B2" w:rsidRDefault="009732B2" w:rsidP="009732B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 тендерної документації Замовника</w:t>
      </w:r>
    </w:p>
    <w:p w:rsidR="00DD0002" w:rsidRDefault="00DD0002" w:rsidP="00DD000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D0002" w:rsidRPr="00892D60" w:rsidRDefault="00DD0002" w:rsidP="002A6F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92D60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bookmarkEnd w:id="0"/>
    </w:p>
    <w:p w:rsidR="002A6F1C" w:rsidRDefault="002A6F1C" w:rsidP="002A6F1C">
      <w:pP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DFEFD"/>
        </w:rPr>
      </w:pPr>
    </w:p>
    <w:p w:rsidR="00B33174" w:rsidRPr="00B33174" w:rsidRDefault="00B33174" w:rsidP="00B331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Молочні</w:t>
      </w:r>
      <w:proofErr w:type="spellEnd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продукти</w:t>
      </w:r>
      <w:proofErr w:type="spellEnd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різні</w:t>
      </w:r>
      <w:proofErr w:type="spellEnd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,</w:t>
      </w:r>
    </w:p>
    <w:p w:rsidR="002A6F1C" w:rsidRPr="00B33174" w:rsidRDefault="00B33174" w:rsidP="00B33174">
      <w:pPr>
        <w:tabs>
          <w:tab w:val="left" w:pos="7371"/>
        </w:tabs>
        <w:autoSpaceDE w:val="0"/>
        <w:autoSpaceDN w:val="0"/>
        <w:spacing w:after="0" w:line="240" w:lineRule="auto"/>
        <w:ind w:right="-108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</w:pPr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к</w:t>
      </w: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ласифікація</w:t>
      </w:r>
      <w:proofErr w:type="spellEnd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за ДК 021:2015</w:t>
      </w:r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DFEFD"/>
        </w:rPr>
        <w:t>: </w:t>
      </w:r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15550000-8</w:t>
      </w:r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DFEFD"/>
        </w:rPr>
        <w:t> - </w:t>
      </w: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Молочні</w:t>
      </w:r>
      <w:proofErr w:type="spellEnd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продукти</w:t>
      </w:r>
      <w:proofErr w:type="spellEnd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33174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різні</w:t>
      </w:r>
      <w:proofErr w:type="spellEnd"/>
    </w:p>
    <w:p w:rsidR="00B33174" w:rsidRPr="00B33174" w:rsidRDefault="00B33174" w:rsidP="00B33174">
      <w:pPr>
        <w:tabs>
          <w:tab w:val="left" w:pos="7371"/>
        </w:tabs>
        <w:autoSpaceDE w:val="0"/>
        <w:autoSpaceDN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6974"/>
      </w:tblGrid>
      <w:tr w:rsidR="002A6F1C" w:rsidRPr="002A6F1C" w:rsidTr="00994ACB">
        <w:tc>
          <w:tcPr>
            <w:tcW w:w="1985" w:type="dxa"/>
            <w:vAlign w:val="center"/>
          </w:tcPr>
          <w:p w:rsidR="002A6F1C" w:rsidRPr="002A6F1C" w:rsidRDefault="002A6F1C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</w:rPr>
            </w:pPr>
            <w:proofErr w:type="spellStart"/>
            <w:r w:rsidRPr="002A6F1C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</w:rPr>
              <w:t>Найменування</w:t>
            </w:r>
            <w:proofErr w:type="spellEnd"/>
            <w:r w:rsidRPr="002A6F1C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</w:rPr>
              <w:t xml:space="preserve"> товару</w:t>
            </w:r>
          </w:p>
        </w:tc>
        <w:tc>
          <w:tcPr>
            <w:tcW w:w="1276" w:type="dxa"/>
            <w:vAlign w:val="center"/>
          </w:tcPr>
          <w:p w:rsidR="002A6F1C" w:rsidRPr="002A6F1C" w:rsidRDefault="002A6F1C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</w:rPr>
            </w:pPr>
            <w:proofErr w:type="spellStart"/>
            <w:r w:rsidRPr="002A6F1C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</w:rPr>
              <w:t>Кількість</w:t>
            </w:r>
            <w:proofErr w:type="spellEnd"/>
          </w:p>
        </w:tc>
        <w:tc>
          <w:tcPr>
            <w:tcW w:w="6974" w:type="dxa"/>
            <w:vAlign w:val="center"/>
          </w:tcPr>
          <w:p w:rsidR="002A6F1C" w:rsidRPr="002A6F1C" w:rsidRDefault="002A6F1C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</w:rPr>
            </w:pPr>
            <w:r w:rsidRPr="002A6F1C">
              <w:rPr>
                <w:rFonts w:ascii="Times New Roman" w:eastAsia="Times New Roman" w:hAnsi="Times New Roman"/>
                <w:b/>
              </w:rPr>
              <w:t>Характеристики товару</w:t>
            </w:r>
          </w:p>
        </w:tc>
      </w:tr>
      <w:tr w:rsidR="002A6F1C" w:rsidRPr="002A6F1C" w:rsidTr="00994ACB">
        <w:tc>
          <w:tcPr>
            <w:tcW w:w="1985" w:type="dxa"/>
            <w:vAlign w:val="center"/>
          </w:tcPr>
          <w:p w:rsidR="002A6F1C" w:rsidRPr="002A6F1C" w:rsidRDefault="002A6F1C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2A6F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vAlign w:val="center"/>
          </w:tcPr>
          <w:p w:rsidR="002A6F1C" w:rsidRPr="002A6F1C" w:rsidRDefault="002A6F1C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2A6F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974" w:type="dxa"/>
            <w:vAlign w:val="center"/>
          </w:tcPr>
          <w:p w:rsidR="002A6F1C" w:rsidRPr="002A6F1C" w:rsidRDefault="002A6F1C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6F1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A6F1C" w:rsidRPr="002A6F1C" w:rsidTr="00994ACB">
        <w:tc>
          <w:tcPr>
            <w:tcW w:w="1985" w:type="dxa"/>
            <w:vAlign w:val="center"/>
          </w:tcPr>
          <w:p w:rsidR="00B33174" w:rsidRPr="007A2E89" w:rsidRDefault="00B33174" w:rsidP="00B33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Йогурт жирністю не менше 1,5% без рослинних добавок, фасований в пакети до 0,5 кг </w:t>
            </w:r>
          </w:p>
          <w:p w:rsidR="002A6F1C" w:rsidRPr="002A6F1C" w:rsidRDefault="002A6F1C" w:rsidP="002A6F1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highlight w:val="yellow"/>
                <w:lang w:val="uk-UA" w:eastAsia="ar-SA"/>
              </w:rPr>
            </w:pPr>
          </w:p>
          <w:p w:rsidR="002A6F1C" w:rsidRPr="002A6F1C" w:rsidRDefault="002A6F1C" w:rsidP="002A6F1C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Align w:val="center"/>
          </w:tcPr>
          <w:p w:rsidR="002A6F1C" w:rsidRPr="002A6F1C" w:rsidRDefault="00B33174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  <w:r w:rsidR="002A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  <w:r w:rsidR="002A6F1C" w:rsidRPr="002A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00 кг</w:t>
            </w:r>
          </w:p>
        </w:tc>
        <w:tc>
          <w:tcPr>
            <w:tcW w:w="6974" w:type="dxa"/>
            <w:vAlign w:val="center"/>
          </w:tcPr>
          <w:p w:rsidR="00B33174" w:rsidRPr="009C5D20" w:rsidRDefault="00B33174" w:rsidP="00B331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Йогурт жирністю не менше 1,5 % без рослинних добавок, фасований в пакет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и</w:t>
            </w: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до 0,5 кг </w:t>
            </w:r>
          </w:p>
          <w:p w:rsidR="00B33174" w:rsidRPr="009C5D20" w:rsidRDefault="00B33174" w:rsidP="00B33174">
            <w:pPr>
              <w:keepLines/>
              <w:tabs>
                <w:tab w:val="num" w:pos="1080"/>
                <w:tab w:val="num" w:pos="23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Йогурт з масовою часткою жиру не менше 1,5% з фруктовими наповнювачами, виготовлений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відповідно до норм чинного законодавства України (ДСТУ, ГОСТ, ТУ, СОУ та інші)</w:t>
            </w: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. Товар виробництва України. Товар фасований у тару виробника масою </w:t>
            </w:r>
            <w:proofErr w:type="spellStart"/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нетто</w:t>
            </w:r>
            <w:proofErr w:type="spellEnd"/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до 500 г. Тара з обов`язковим маркуванням.  Сертифікат якості на кожну поставку  повинен бути діючим з урахуванням терміну реалізації та чітко відповідати змісту маркування на пакувальній тарі. Строк придатності при прийманні не менш 90% від загального строку придатності. Кількість цукрів не більше 10 г на 100 г, бажано додавання вітаміну Д.</w:t>
            </w:r>
          </w:p>
          <w:p w:rsidR="002A6F1C" w:rsidRPr="002A6F1C" w:rsidRDefault="002A6F1C" w:rsidP="00B3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33174" w:rsidRPr="002A6F1C" w:rsidTr="00994ACB">
        <w:tc>
          <w:tcPr>
            <w:tcW w:w="1985" w:type="dxa"/>
            <w:vAlign w:val="center"/>
          </w:tcPr>
          <w:p w:rsidR="00B33174" w:rsidRDefault="00B33174" w:rsidP="00B331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>Кефір жирністю не менше 2,5% без рослинних добавок, фасований в пакети до 0,5 кг</w:t>
            </w:r>
          </w:p>
        </w:tc>
        <w:tc>
          <w:tcPr>
            <w:tcW w:w="1276" w:type="dxa"/>
            <w:vAlign w:val="center"/>
          </w:tcPr>
          <w:p w:rsidR="00B33174" w:rsidRDefault="00B33174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  <w:r w:rsidRPr="002A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00 кг</w:t>
            </w:r>
          </w:p>
        </w:tc>
        <w:tc>
          <w:tcPr>
            <w:tcW w:w="6974" w:type="dxa"/>
            <w:vAlign w:val="center"/>
          </w:tcPr>
          <w:p w:rsidR="00B33174" w:rsidRPr="009C5D20" w:rsidRDefault="00B33174" w:rsidP="00B331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Кефір жирністю не менше 2,5 %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без рослинних добавок, фасований</w:t>
            </w: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 пакет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и</w:t>
            </w: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до 0,5 кг </w:t>
            </w:r>
          </w:p>
          <w:p w:rsidR="00B33174" w:rsidRPr="009C5D20" w:rsidRDefault="00B33174" w:rsidP="00B33174">
            <w:pPr>
              <w:keepLines/>
              <w:tabs>
                <w:tab w:val="num" w:pos="1080"/>
                <w:tab w:val="num" w:pos="23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Кефір з  масовою часткою жиру не менше 2,5%, виготовлений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відповідно до норм чинного законодавства України (ДСТУ, ГОСТ, ТУ, СОУ та інші)</w:t>
            </w:r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без додавання синтетичних барвників,  ароматизаторів,  </w:t>
            </w:r>
            <w:proofErr w:type="spellStart"/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підсолоджувачів</w:t>
            </w:r>
            <w:proofErr w:type="spellEnd"/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,  підсилювачів смаку,  консервантів). Товар виробництва України. Товар фасований у тару виробника масою </w:t>
            </w:r>
            <w:proofErr w:type="spellStart"/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нетто</w:t>
            </w:r>
            <w:proofErr w:type="spellEnd"/>
            <w:r w:rsidRPr="009C5D2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до 500 г. Тара з обов`язковим маркуванням.  Сертифікат якості на кожну поставку  повинен бути діючим з урахуванням терміну реалізації та чітко відповідати змісту маркування на пакувальній тарі. Строк придатності при прийманні не менш 90% від загального строку придатності. Кількість цукрів не більше 10 г на 100 г, бажано додавання вітаміну Д.</w:t>
            </w:r>
          </w:p>
          <w:p w:rsidR="00B33174" w:rsidRPr="002A6F1C" w:rsidRDefault="00B33174" w:rsidP="00B3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33174" w:rsidRPr="002A6F1C" w:rsidTr="00994ACB">
        <w:tc>
          <w:tcPr>
            <w:tcW w:w="1985" w:type="dxa"/>
            <w:vAlign w:val="center"/>
          </w:tcPr>
          <w:p w:rsidR="00B33174" w:rsidRPr="00B33174" w:rsidRDefault="00B33174" w:rsidP="00B331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bookmarkStart w:id="1" w:name="_GoBack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Сметана </w:t>
            </w:r>
            <w:proofErr w:type="spellStart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жирністю</w:t>
            </w:r>
            <w:proofErr w:type="spellEnd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не </w:t>
            </w:r>
            <w:proofErr w:type="spellStart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менше</w:t>
            </w:r>
            <w:proofErr w:type="spellEnd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15% без </w:t>
            </w:r>
            <w:proofErr w:type="spellStart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рослинних</w:t>
            </w:r>
            <w:proofErr w:type="spellEnd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добавок, фасована в </w:t>
            </w:r>
            <w:proofErr w:type="spellStart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пакети</w:t>
            </w:r>
            <w:proofErr w:type="spellEnd"/>
            <w:r w:rsidRPr="00B33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0,400 -0,450 кг</w:t>
            </w:r>
            <w:bookmarkEnd w:id="1"/>
          </w:p>
        </w:tc>
        <w:tc>
          <w:tcPr>
            <w:tcW w:w="1276" w:type="dxa"/>
            <w:vAlign w:val="center"/>
          </w:tcPr>
          <w:p w:rsidR="00B33174" w:rsidRDefault="00B33174" w:rsidP="002A6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  <w:r w:rsidRPr="002A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00 кг</w:t>
            </w:r>
          </w:p>
        </w:tc>
        <w:tc>
          <w:tcPr>
            <w:tcW w:w="6974" w:type="dxa"/>
            <w:vAlign w:val="center"/>
          </w:tcPr>
          <w:p w:rsidR="00B33174" w:rsidRPr="000038F5" w:rsidRDefault="00B33174" w:rsidP="00B331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Сметана жирністю не менше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15</w:t>
            </w:r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% без рослинних добавок, фасована в пакетах 0,4-0,45 кг – 3000 кг </w:t>
            </w:r>
          </w:p>
          <w:p w:rsidR="00B33174" w:rsidRPr="00B33174" w:rsidRDefault="00B33174" w:rsidP="00B33174">
            <w:pPr>
              <w:keepLines/>
              <w:tabs>
                <w:tab w:val="num" w:pos="1080"/>
                <w:tab w:val="num" w:pos="23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Сметана з масовою часткою жиру не менше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15</w:t>
            </w:r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%, виготовлена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відповідно до норм чинного законодавства України (ДСТУ, ГОСТ, ТУ, СОУ та інші)</w:t>
            </w:r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. Товар виробництва України. Товар фасований у тару виробника масою </w:t>
            </w:r>
            <w:proofErr w:type="spellStart"/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нетто</w:t>
            </w:r>
            <w:proofErr w:type="spellEnd"/>
            <w:r w:rsidRPr="000038F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400-450 г. Тара з обов`язковим маркуванням.  Сертифікат якості на кожну поставку  повинен бути діючим з урахуванням терміну реалізації та чітко відповідати змісту маркування на пакувальній тарі. Строк придатності при прийманні не менш 90% від загального строку придатності. Кількість цукрів не більше 10 г на 100 г, бажано додавання вітаміну Д.</w:t>
            </w:r>
          </w:p>
        </w:tc>
      </w:tr>
    </w:tbl>
    <w:p w:rsidR="00EB1528" w:rsidRDefault="00EB1528" w:rsidP="00EB152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D0002" w:rsidRPr="006E7922" w:rsidRDefault="00DD0002" w:rsidP="002A6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922">
        <w:rPr>
          <w:rFonts w:ascii="Times New Roman" w:hAnsi="Times New Roman"/>
          <w:sz w:val="24"/>
          <w:szCs w:val="24"/>
          <w:lang w:val="uk-UA"/>
        </w:rPr>
        <w:lastRenderedPageBreak/>
        <w:t xml:space="preserve">1. Товари по якості і безпечності повинні відповідати встановленим державним стандартам. За зовнішнім виглядом, запахом, смаком, кольором, консистенцією, продукти харчування повинні відповідати показникам якості. </w:t>
      </w:r>
    </w:p>
    <w:p w:rsidR="00DD0002" w:rsidRPr="006E7922" w:rsidRDefault="00DD0002" w:rsidP="002A6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922">
        <w:rPr>
          <w:rFonts w:ascii="Times New Roman" w:hAnsi="Times New Roman"/>
          <w:sz w:val="24"/>
          <w:szCs w:val="24"/>
          <w:lang w:val="uk-UA"/>
        </w:rPr>
        <w:t>2. Доставка продукції здійснюється спеціалізованим автотранспортом згідно з Санітарними правилами для підприємств продовольчої торгівлі у строк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E7922">
        <w:rPr>
          <w:rFonts w:ascii="Times New Roman" w:hAnsi="Times New Roman"/>
          <w:sz w:val="24"/>
          <w:szCs w:val="24"/>
          <w:lang w:val="uk-UA"/>
        </w:rPr>
        <w:t xml:space="preserve"> визначений замовником в договорі про закупівлю. Обсяг кожної поставки згідно з заявками замовника.</w:t>
      </w:r>
    </w:p>
    <w:p w:rsidR="00DD0002" w:rsidRPr="006E7922" w:rsidRDefault="00DD0002" w:rsidP="00DD0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7922">
        <w:rPr>
          <w:rFonts w:ascii="Times New Roman" w:hAnsi="Times New Roman"/>
          <w:sz w:val="24"/>
          <w:szCs w:val="24"/>
          <w:lang w:val="uk-UA"/>
        </w:rPr>
        <w:t xml:space="preserve">Кожна партія товару повинна відповідати заявці Замовника та мати супроводжувальні документами, що підтверджують якість товару (висновок державної санітарно-епідеміологічної експертизи та/або копія посвідчення про якість (та/або декларація виробника), тощо) із зазначенням строку придатності, умов збереження і температурного режиму. Зміст маркування: назва місцезнаходження виробника, пакувальника, назва місця походження, товарний знак виробника, позначення маси </w:t>
      </w:r>
      <w:proofErr w:type="spellStart"/>
      <w:r w:rsidRPr="006E7922">
        <w:rPr>
          <w:rFonts w:ascii="Times New Roman" w:hAnsi="Times New Roman"/>
          <w:sz w:val="24"/>
          <w:szCs w:val="24"/>
          <w:lang w:val="uk-UA"/>
        </w:rPr>
        <w:t>нетто</w:t>
      </w:r>
      <w:proofErr w:type="spellEnd"/>
      <w:r w:rsidRPr="006E7922">
        <w:rPr>
          <w:rFonts w:ascii="Times New Roman" w:hAnsi="Times New Roman"/>
          <w:sz w:val="24"/>
          <w:szCs w:val="24"/>
          <w:lang w:val="uk-UA"/>
        </w:rPr>
        <w:t>, чи об'єму, склад продукту, поживна (харчова) та енергетична цінність (калорійність) харчового продукту, строк (термін) придатності, умови зберігання, дата виготовлення (виробництва) і дата пакування (або фасування), на споживчу тару обов'язково наносять кінцеву дату споживання (термін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7922">
        <w:rPr>
          <w:rFonts w:ascii="Times New Roman" w:hAnsi="Times New Roman"/>
          <w:sz w:val="24"/>
          <w:szCs w:val="24"/>
          <w:lang w:val="uk-UA"/>
        </w:rPr>
        <w:t xml:space="preserve">придатності) «вжити до» або дату виробництва та строк придатності продукту, нанесення позначень нормативних документів тощо, відповідно до </w:t>
      </w:r>
      <w:r w:rsidRPr="008C46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ДСТУ, ГОСТУ, </w:t>
      </w:r>
      <w:proofErr w:type="spellStart"/>
      <w:r w:rsidRPr="008C46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ГОСТів</w:t>
      </w:r>
      <w:proofErr w:type="spellEnd"/>
      <w:r w:rsidRPr="008C46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ТУУ, СОУ</w:t>
      </w:r>
      <w:r w:rsidRPr="006E7922">
        <w:rPr>
          <w:rFonts w:ascii="Times New Roman" w:hAnsi="Times New Roman"/>
          <w:sz w:val="24"/>
          <w:szCs w:val="24"/>
          <w:lang w:val="uk-UA"/>
        </w:rPr>
        <w:t>.</w:t>
      </w:r>
    </w:p>
    <w:p w:rsidR="00DD0002" w:rsidRPr="006E7922" w:rsidRDefault="00DD0002" w:rsidP="00DD00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7922">
        <w:rPr>
          <w:rFonts w:ascii="Times New Roman" w:hAnsi="Times New Roman"/>
          <w:sz w:val="24"/>
          <w:szCs w:val="24"/>
          <w:lang w:val="uk-UA"/>
        </w:rPr>
        <w:t>3. Відповідність вимогам діючого санітарного законодавства України обов`язкова.</w:t>
      </w:r>
    </w:p>
    <w:p w:rsidR="00DD0002" w:rsidRPr="006E7922" w:rsidRDefault="00DD0002" w:rsidP="00DD00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7922">
        <w:rPr>
          <w:rFonts w:ascii="Times New Roman" w:hAnsi="Times New Roman"/>
          <w:sz w:val="24"/>
          <w:szCs w:val="24"/>
          <w:lang w:val="uk-UA"/>
        </w:rPr>
        <w:t>4. Термін придатності продукції повинен складати на момент поставки не менше 80% від загального терміну придатності товару.</w:t>
      </w:r>
    </w:p>
    <w:p w:rsidR="00DD0002" w:rsidRPr="006A1BCB" w:rsidRDefault="00DD0002" w:rsidP="00DD0002">
      <w:pPr>
        <w:tabs>
          <w:tab w:val="left" w:pos="709"/>
        </w:tabs>
        <w:spacing w:after="0" w:line="240" w:lineRule="auto"/>
        <w:jc w:val="both"/>
        <w:rPr>
          <w:b/>
          <w:color w:val="FF00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5. </w:t>
      </w:r>
      <w:r w:rsidRPr="00D40847">
        <w:rPr>
          <w:rFonts w:ascii="Times New Roman" w:hAnsi="Times New Roman"/>
          <w:sz w:val="24"/>
          <w:szCs w:val="24"/>
          <w:lang w:val="uk-UA"/>
        </w:rPr>
        <w:t>Для підтвердження відповідності товару екологічним нормам, Учасник повинен надати у складі тендерної пропозиції інформацію у довільній формі, в якій зазначити, що технології застосовані при виробництві товару, сприяють захисту довкілля.</w:t>
      </w:r>
      <w:r w:rsidRPr="00D40847">
        <w:rPr>
          <w:rFonts w:ascii="Times New Roman" w:hAnsi="Times New Roman"/>
          <w:color w:val="FF0000"/>
          <w:kern w:val="1"/>
          <w:sz w:val="24"/>
          <w:szCs w:val="24"/>
          <w:lang w:val="uk-UA"/>
        </w:rPr>
        <w:t xml:space="preserve">       </w:t>
      </w:r>
    </w:p>
    <w:p w:rsidR="00DD0002" w:rsidRDefault="00DD0002" w:rsidP="00DD0002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uk-UA"/>
        </w:rPr>
      </w:pPr>
      <w:r w:rsidRPr="00A72681">
        <w:rPr>
          <w:rFonts w:ascii="Times New Roman" w:eastAsiaTheme="minorHAnsi" w:hAnsi="Times New Roman"/>
          <w:b/>
          <w:color w:val="000000"/>
          <w:sz w:val="24"/>
          <w:szCs w:val="24"/>
          <w:lang w:val="uk-UA"/>
        </w:rPr>
        <w:t>Документальне підтвердження відповідності тендерної пропозиції учасника технічним, якісним</w:t>
      </w:r>
      <w:r w:rsidRPr="00A7268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uk-UA"/>
        </w:rPr>
        <w:t>та</w:t>
      </w:r>
      <w:r w:rsidRPr="00A72681">
        <w:rPr>
          <w:rFonts w:ascii="Times New Roman" w:eastAsiaTheme="minorHAnsi" w:hAnsi="Times New Roman"/>
          <w:b/>
          <w:color w:val="000000"/>
          <w:sz w:val="24"/>
          <w:szCs w:val="24"/>
          <w:lang w:val="uk-UA"/>
        </w:rPr>
        <w:t xml:space="preserve"> кількісним вимогам до предмета закупівлі, </w:t>
      </w:r>
    </w:p>
    <w:p w:rsidR="00DD0002" w:rsidRPr="00A72681" w:rsidRDefault="00DD0002" w:rsidP="00DD00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72681">
        <w:rPr>
          <w:rFonts w:ascii="Times New Roman" w:eastAsiaTheme="minorHAnsi" w:hAnsi="Times New Roman"/>
          <w:b/>
          <w:color w:val="000000"/>
          <w:sz w:val="24"/>
          <w:szCs w:val="24"/>
          <w:lang w:val="uk-UA"/>
        </w:rPr>
        <w:t>встановленим Замовником</w:t>
      </w:r>
    </w:p>
    <w:tbl>
      <w:tblPr>
        <w:tblW w:w="1006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D0002" w:rsidRPr="00B33174" w:rsidTr="00C22292">
        <w:trPr>
          <w:trHeight w:val="279"/>
        </w:trPr>
        <w:tc>
          <w:tcPr>
            <w:tcW w:w="10065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hideMark/>
          </w:tcPr>
          <w:p w:rsidR="00EB1528" w:rsidRPr="00664634" w:rsidRDefault="00DD0002" w:rsidP="00EB152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8256A">
              <w:rPr>
                <w:rFonts w:ascii="Times New Roman" w:hAnsi="Times New Roman"/>
                <w:i/>
                <w:kern w:val="2"/>
                <w:sz w:val="24"/>
                <w:szCs w:val="24"/>
                <w:lang w:val="uk-UA" w:eastAsia="zh-CN"/>
              </w:rPr>
              <w:t xml:space="preserve"> </w:t>
            </w:r>
            <w:r w:rsidR="00EB1528" w:rsidRPr="000F79F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довідка у довільній формі, яка повинна містити інформацію про необхідні технічні, якісні та кількісні характеристики предмета закупівлі (опис предмета закупівлі – </w:t>
            </w:r>
            <w:r w:rsidR="00B33D4F" w:rsidRPr="008C46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ДСТУ, ГОСТУ, </w:t>
            </w:r>
            <w:proofErr w:type="spellStart"/>
            <w:r w:rsidR="00B33D4F" w:rsidRPr="008C46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ГОСТів</w:t>
            </w:r>
            <w:proofErr w:type="spellEnd"/>
            <w:r w:rsidR="00B33D4F" w:rsidRPr="008C46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ТУУ, СОУ</w:t>
            </w:r>
            <w:r w:rsidR="00EB1528" w:rsidRPr="000F79F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затвердженими в установленому порядку з дотриманням вимог санітарного законодавства України) відповідно до вимог Додатку № 3</w:t>
            </w:r>
            <w:r w:rsidR="00EB152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;</w:t>
            </w:r>
            <w:r w:rsidR="00EB1528" w:rsidRPr="000F79F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</w:p>
          <w:p w:rsidR="00EB1528" w:rsidRPr="000F79F1" w:rsidRDefault="00EB1528" w:rsidP="00EB152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довідка у довільній формі щодо застосування </w:t>
            </w:r>
            <w:r w:rsidRPr="000F79F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заходів із захисту довкілля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при обігу (виробництві, транспортуванні) харчових продуктів;</w:t>
            </w:r>
          </w:p>
          <w:p w:rsidR="00EB1528" w:rsidRPr="00A72681" w:rsidRDefault="00EB1528" w:rsidP="00EB1528">
            <w:pPr>
              <w:spacing w:after="0" w:line="240" w:lineRule="auto"/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сканований оригінал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документів, які підтверджують якість товару: посвідчення якості або деклараці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ю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виробника (мають бути надані на товар, що буде постачатися протягом усього терміну дії договору)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що відповідають нормам чинного законодавства України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ідомості про наявність укладеного договору з  акредитованою лабораторією на дослідження продукції, що реалізується на </w:t>
            </w:r>
            <w:proofErr w:type="spellStart"/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агропродовольчому</w:t>
            </w:r>
            <w:proofErr w:type="spellEnd"/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ринку (для сільськогосподарської продукції та іншої продукції, яка постачається Учасником з </w:t>
            </w:r>
            <w:proofErr w:type="spellStart"/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агропродовольчого</w:t>
            </w:r>
            <w:proofErr w:type="spellEnd"/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ринку) (дата, номер, найменування та код за ЄДРПОУ лабораторії, її адреса, контактний телефон)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сканкопію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оригіналу зазначеного договору.</w:t>
            </w:r>
            <w:r w:rsidRPr="00A726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Акредитована лабораторія повинна знаходитися у м. Кривий Ріг Дніпропетровської області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. Дана вимога встановлена з метою реалізації права на проведення лабораторного дослідження товару на першу вимогу Замовника;</w:t>
            </w:r>
          </w:p>
          <w:p w:rsidR="00EB1528" w:rsidRPr="00A72681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сканований оригінал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сертифікат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на систему управління безпечністю харчових продуктів (відповідає вимогам ДСТУ 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ISO</w:t>
            </w:r>
            <w:r w:rsidRPr="00240D4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22000-20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19</w:t>
            </w:r>
            <w:r w:rsidRPr="00240D4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5. документ, що підтверджує застосування учасником вимог ДСТУ 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ISO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</w:rPr>
              <w:t xml:space="preserve"> 22000-20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19 Система управління безпечністю харчових продуктів. Вимоги до будь-яких організацій харчового ланцюга, виданого на ім’я учасника та містити інформацію щодо адреси потужності;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6. сканований оригінал наказу про призначення відповідальних осіб за застосування постійно діючих процедур, що базуються на принципах системи аналізу небезпечних факторів та контролю у критичних точках під час обігу харчових продуктів згідно із Законом України «Про основні принципи та вимоги до безпечності та якості харчових продуктів»;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7. сканований оригінал сертифікатів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свідоцтв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 «Вимоги до розробки та впровадження системи НАСРР», виданих на відповідальних осіб, визначених наказом, за розробку та впровадження системи ХАСП, які підтверджують, що Учасник забезпечив належну підготовку осіб, які є відповідальними за застосування постійно діючих процедур;</w:t>
            </w:r>
          </w:p>
          <w:p w:rsidR="00EB1528" w:rsidRPr="00A72681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8. довідка у довільній формі, що містить пояснення щодо виконання Учасником положень частини 2 статті 20 Закону України «Про основні принципи та вимоги до безпечності та якості харчових продуктів»;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сканований оригінал 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атестат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акредитації НААУ органу з сертифікації у сфері передбаченого ДСТУ 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ISO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22000-2019 Система управління безпечністю харчових продуктів. Вимоги до будь-яких організацій харчового ланцюга;</w:t>
            </w:r>
          </w:p>
          <w:p w:rsidR="00EB1528" w:rsidRPr="00A72681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10. сертифікат на систему управління безпечністю харчових продуктів СУЯ, СУЕК, виданих органом із сертифікації, акредитованим Національним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агенством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акредитації України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*я Учасника;</w:t>
            </w:r>
          </w:p>
          <w:p w:rsidR="00EB1528" w:rsidRPr="00A72681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11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для підтвердження відповідності потужності учасника ДСТУ 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ISO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22000-2019 Система управління безпечністю харчових продуктів. Вимоги до будь-яких організацій харчового ланцюга, надати звіт про аудит системи менеджменту з обов’язковим зазначенням адреси потужності;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12</w:t>
            </w:r>
            <w:r w:rsidRPr="00A7268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 експертний висновок, що виданий акредитованою лабораторією про дослідження запропонованого товару на відповідність за мікробіологічними показниками встановленим ви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могам в тендерній документації;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13. довідка у довільній формі про можливість безперешкодного доступу Замовника до огляду складських та виробничих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Учасника за першою вимогою.</w:t>
            </w:r>
          </w:p>
          <w:p w:rsidR="00EB1528" w:rsidRPr="00984355" w:rsidRDefault="00EB1528" w:rsidP="00EB1528">
            <w:pPr>
              <w:ind w:left="-73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2"/>
                <w:sz w:val="24"/>
                <w:szCs w:val="24"/>
                <w:lang w:val="uk-UA" w:eastAsia="zh-CN"/>
              </w:rPr>
              <w:t>14.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довідка про н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аявність у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иробника  власної виробничої  лабораторії,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яка відповідає системі вимірювань згідно  вимогам ДСТУ І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SO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10012:2005. Надати копію Свідоцтва ДСТУ І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SO</w:t>
            </w:r>
            <w:r w:rsidRPr="00984355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10012:2005 з додатками.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15.</w:t>
            </w:r>
            <w:r w:rsidRPr="00A8256A">
              <w:rPr>
                <w:rFonts w:ascii="Times New Roman" w:hAnsi="Times New Roman"/>
                <w:i/>
                <w:kern w:val="2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сканований оригінал </w:t>
            </w:r>
            <w:r w:rsidRPr="002109D9">
              <w:rPr>
                <w:rFonts w:ascii="Times New Roman" w:hAnsi="Times New Roman"/>
                <w:iCs/>
                <w:kern w:val="2"/>
                <w:sz w:val="24"/>
                <w:szCs w:val="24"/>
                <w:lang w:val="uk-UA" w:eastAsia="zh-CN"/>
              </w:rPr>
              <w:t>сертифікат</w:t>
            </w:r>
            <w:r>
              <w:rPr>
                <w:rFonts w:ascii="Times New Roman" w:hAnsi="Times New Roman"/>
                <w:iCs/>
                <w:kern w:val="2"/>
                <w:sz w:val="24"/>
                <w:szCs w:val="24"/>
                <w:lang w:val="uk-UA" w:eastAsia="zh-CN"/>
              </w:rPr>
              <w:t>у</w:t>
            </w:r>
            <w:r w:rsidRPr="002109D9">
              <w:rPr>
                <w:rFonts w:ascii="Times New Roman" w:hAnsi="Times New Roman"/>
                <w:iCs/>
                <w:kern w:val="2"/>
                <w:sz w:val="24"/>
                <w:szCs w:val="24"/>
                <w:lang w:val="uk-UA" w:eastAsia="zh-CN"/>
              </w:rPr>
              <w:t xml:space="preserve"> або інші документи, що підтверджують проходження навчання та отримання знань з питань впровадження системи НАССР (безпечність харчових продуктів) керівником підприємства.</w:t>
            </w:r>
          </w:p>
          <w:p w:rsidR="00EB1528" w:rsidRDefault="00EB1528" w:rsidP="00EB1528">
            <w:pPr>
              <w:ind w:left="-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355">
              <w:rPr>
                <w:rFonts w:ascii="Times New Roman" w:hAnsi="Times New Roman"/>
                <w:iCs/>
                <w:kern w:val="2"/>
                <w:sz w:val="24"/>
                <w:szCs w:val="24"/>
                <w:lang w:val="uk-UA" w:eastAsia="zh-CN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>овідка у довільній формі з описом заходів, які здійснюються оператором харчових продуктів – учасником по встановленню інших операторів ринку, які постачають йому харчові продукти за принципом «крок назад» та «крок вперед» та надати документи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>ротоколів), що встановлюють порядок виконання Учасником цих заходів, за останній місяць.</w:t>
            </w:r>
          </w:p>
          <w:p w:rsidR="00DD0002" w:rsidRPr="00EB1528" w:rsidRDefault="00EB1528" w:rsidP="00EB152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 д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>овідк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довільній формі, яка містить опис всіх обов’язкових процедур, що реалізують усі принципи передбачені ст.21 Закону України №771/97 «Про основні принципи та вимоги до безпечності та якості харчових продуктів» зі змінами та надати документи, які підтверджують проведення Учасником аналізу небезпечних фактів, виявлення критичних точок та здійснення 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контролю за критичними точками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сканк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>опія</w:t>
            </w:r>
            <w:proofErr w:type="spellEnd"/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титульного листа процедури;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сканк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>опії</w:t>
            </w:r>
            <w:proofErr w:type="spellEnd"/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984355">
              <w:rPr>
                <w:rFonts w:ascii="Times New Roman" w:hAnsi="Times New Roman"/>
                <w:sz w:val="24"/>
                <w:szCs w:val="24"/>
                <w:lang w:val="uk-UA"/>
              </w:rPr>
              <w:t>урналів з КТК з датами за останній місяць)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2D4F21" w:rsidRPr="00EB1528" w:rsidRDefault="002D4F21">
      <w:pPr>
        <w:rPr>
          <w:lang w:val="uk-UA"/>
        </w:rPr>
      </w:pPr>
    </w:p>
    <w:sectPr w:rsidR="002D4F21" w:rsidRPr="00E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27E2"/>
    <w:multiLevelType w:val="hybridMultilevel"/>
    <w:tmpl w:val="CD1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9"/>
    <w:rsid w:val="002A6F1C"/>
    <w:rsid w:val="002D4F21"/>
    <w:rsid w:val="008454F9"/>
    <w:rsid w:val="009732B2"/>
    <w:rsid w:val="00B33174"/>
    <w:rsid w:val="00B33D4F"/>
    <w:rsid w:val="00DD0002"/>
    <w:rsid w:val="00EB1528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157"/>
  <w15:chartTrackingRefBased/>
  <w15:docId w15:val="{E9C4419A-60B9-4E83-9196-41D3C5C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34"/>
    <w:qFormat/>
    <w:rsid w:val="00DD0002"/>
    <w:pPr>
      <w:ind w:left="720"/>
      <w:contextualSpacing/>
    </w:p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34"/>
    <w:qFormat/>
    <w:locked/>
    <w:rsid w:val="00DD00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2023-12-11T10:43:00Z</dcterms:created>
  <dcterms:modified xsi:type="dcterms:W3CDTF">2023-12-17T14:44:00Z</dcterms:modified>
</cp:coreProperties>
</file>