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910C50"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t>1</w:t>
      </w:r>
      <w:r w:rsidR="002612F5"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p w:rsidR="00910C50" w:rsidRPr="0074780A" w:rsidRDefault="00910C5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3710" w:type="dxa"/>
            <w:tcMar>
              <w:top w:w="100" w:type="dxa"/>
              <w:left w:w="100" w:type="dxa"/>
              <w:bottom w:w="100" w:type="dxa"/>
              <w:right w:w="100" w:type="dxa"/>
            </w:tcMar>
          </w:tcPr>
          <w:p w:rsidR="009F01D5" w:rsidRPr="00BC04FE" w:rsidRDefault="009F01D5" w:rsidP="00B55A31">
            <w:pP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910C50">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B51757">
              <w:rPr>
                <w:rFonts w:ascii="Times New Roman" w:hAnsi="Times New Roman" w:cs="Times New Roman"/>
                <w:b/>
                <w:color w:val="000000"/>
                <w:sz w:val="24"/>
                <w:szCs w:val="24"/>
                <w:lang w:val="uk-UA" w:eastAsia="ru-RU"/>
              </w:rPr>
              <w:t>№</w:t>
            </w:r>
            <w:r w:rsidRPr="00A4132C">
              <w:rPr>
                <w:rFonts w:ascii="Times New Roman" w:hAnsi="Times New Roman" w:cs="Times New Roman"/>
                <w:b/>
                <w:color w:val="000000"/>
                <w:sz w:val="24"/>
                <w:szCs w:val="24"/>
                <w:lang w:val="uk-UA" w:eastAsia="ru-RU"/>
              </w:rPr>
              <w:t xml:space="preserve"> </w:t>
            </w:r>
            <w:r w:rsidR="00910C50">
              <w:rPr>
                <w:rFonts w:ascii="Times New Roman" w:hAnsi="Times New Roman" w:cs="Times New Roman"/>
                <w:b/>
                <w:color w:val="000000"/>
                <w:sz w:val="24"/>
                <w:szCs w:val="24"/>
                <w:lang w:val="uk-UA" w:eastAsia="ru-RU"/>
              </w:rPr>
              <w:t>165</w:t>
            </w:r>
            <w:r w:rsidR="00017B9B">
              <w:rPr>
                <w:rFonts w:ascii="Times New Roman" w:hAnsi="Times New Roman" w:cs="Times New Roman"/>
                <w:b/>
                <w:color w:val="000000"/>
                <w:sz w:val="24"/>
                <w:szCs w:val="24"/>
                <w:lang w:val="uk-UA" w:eastAsia="ru-RU"/>
              </w:rPr>
              <w:t xml:space="preserve">  </w:t>
            </w:r>
            <w:r w:rsidRPr="00851510">
              <w:rPr>
                <w:rFonts w:ascii="Times New Roman" w:hAnsi="Times New Roman" w:cs="Times New Roman"/>
                <w:b/>
                <w:color w:val="000000"/>
                <w:sz w:val="24"/>
                <w:szCs w:val="24"/>
                <w:lang w:val="uk-UA" w:eastAsia="ru-RU"/>
              </w:rPr>
              <w:t xml:space="preserve"> від </w:t>
            </w:r>
            <w:r w:rsidR="00910C50">
              <w:rPr>
                <w:rFonts w:ascii="Times New Roman" w:hAnsi="Times New Roman" w:cs="Times New Roman"/>
                <w:b/>
                <w:color w:val="000000"/>
                <w:sz w:val="24"/>
                <w:szCs w:val="24"/>
                <w:lang w:val="uk-UA" w:eastAsia="ru-RU"/>
              </w:rPr>
              <w:t>03</w:t>
            </w:r>
            <w:r w:rsidRPr="00851510">
              <w:rPr>
                <w:rFonts w:ascii="Times New Roman" w:hAnsi="Times New Roman" w:cs="Times New Roman"/>
                <w:b/>
                <w:color w:val="000000"/>
                <w:sz w:val="24"/>
                <w:szCs w:val="24"/>
                <w:lang w:val="uk-UA" w:eastAsia="ru-RU"/>
              </w:rPr>
              <w:t>.</w:t>
            </w:r>
            <w:r w:rsidR="0085733F">
              <w:rPr>
                <w:rFonts w:ascii="Times New Roman" w:hAnsi="Times New Roman" w:cs="Times New Roman"/>
                <w:b/>
                <w:color w:val="000000"/>
                <w:sz w:val="24"/>
                <w:szCs w:val="24"/>
                <w:lang w:val="uk-UA" w:eastAsia="ru-RU"/>
              </w:rPr>
              <w:t>1</w:t>
            </w:r>
            <w:r w:rsidR="00910C50">
              <w:rPr>
                <w:rFonts w:ascii="Times New Roman" w:hAnsi="Times New Roman" w:cs="Times New Roman"/>
                <w:b/>
                <w:color w:val="000000"/>
                <w:sz w:val="24"/>
                <w:szCs w:val="24"/>
                <w:lang w:val="uk-UA" w:eastAsia="ru-RU"/>
              </w:rPr>
              <w:t>1</w:t>
            </w:r>
            <w:r w:rsidR="00CF252F" w:rsidRPr="00851510">
              <w:rPr>
                <w:rFonts w:ascii="Times New Roman" w:hAnsi="Times New Roman" w:cs="Times New Roman"/>
                <w:b/>
                <w:color w:val="000000"/>
                <w:sz w:val="24"/>
                <w:szCs w:val="24"/>
                <w:lang w:val="uk-UA" w:eastAsia="ru-RU"/>
              </w:rPr>
              <w:t>.2023</w:t>
            </w:r>
          </w:p>
        </w:tc>
        <w:tc>
          <w:tcPr>
            <w:tcW w:w="256" w:type="dxa"/>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910C50" w:rsidRPr="00910C50" w:rsidRDefault="00910C50" w:rsidP="00910C50">
      <w:pPr>
        <w:widowControl w:val="0"/>
        <w:jc w:val="center"/>
        <w:rPr>
          <w:rFonts w:ascii="Times New Roman" w:eastAsia="Calibri" w:hAnsi="Times New Roman" w:cs="Times New Roman"/>
          <w:b/>
          <w:sz w:val="24"/>
          <w:szCs w:val="24"/>
          <w:lang w:val="uk-UA" w:eastAsia="ar-SA"/>
        </w:rPr>
      </w:pPr>
      <w:r w:rsidRPr="00910C50">
        <w:rPr>
          <w:rFonts w:ascii="Times New Roman" w:eastAsia="Times New Roman" w:hAnsi="Times New Roman" w:cs="Times New Roman"/>
          <w:b/>
          <w:sz w:val="24"/>
          <w:szCs w:val="24"/>
          <w:lang w:val="uk-UA" w:eastAsia="ar-SA"/>
        </w:rPr>
        <w:t>Периметр офтальмологічний,  лампа щілинна (за кодом ЄЗС ДК 021:2015: 33120000-7 Системи реєстрації медичної інформації та дослідне обладнання; за кодом НК 024:2023(периметр офтальмологічний:</w:t>
      </w:r>
      <w:r w:rsidRPr="00910C50">
        <w:rPr>
          <w:b/>
          <w:lang w:val="uk-UA"/>
        </w:rPr>
        <w:t xml:space="preserve"> </w:t>
      </w:r>
      <w:r w:rsidRPr="00910C50">
        <w:rPr>
          <w:rFonts w:ascii="Times New Roman" w:eastAsia="Times New Roman" w:hAnsi="Times New Roman" w:cs="Times New Roman"/>
          <w:b/>
          <w:sz w:val="24"/>
          <w:szCs w:val="24"/>
          <w:lang w:val="uk-UA" w:eastAsia="ar-SA"/>
        </w:rPr>
        <w:t>16918  Автоматичний периметр; лампа щілинна: 35148 Лампа щілинна офтальмологічна оглядова))</w:t>
      </w: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F10A85" w:rsidRDefault="005706BE"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EA2DFD" w:rsidRDefault="00F10A85"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144A"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Pr="00E70D74" w:rsidRDefault="001E28B3"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910C5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910C5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910C50" w:rsidP="00760B3D">
            <w:pPr>
              <w:widowControl w:val="0"/>
              <w:jc w:val="both"/>
              <w:rPr>
                <w:rFonts w:ascii="Times New Roman" w:hAnsi="Times New Roman" w:cs="Times New Roman"/>
                <w:iCs/>
                <w:sz w:val="24"/>
                <w:szCs w:val="24"/>
                <w:lang w:val="uk-UA"/>
              </w:rPr>
            </w:pPr>
            <w:r w:rsidRPr="00910C50">
              <w:rPr>
                <w:rFonts w:ascii="Times New Roman" w:eastAsia="Arial" w:hAnsi="Times New Roman" w:cs="Times New Roman"/>
                <w:sz w:val="24"/>
                <w:szCs w:val="24"/>
                <w:lang w:val="uk-UA" w:eastAsia="ru-RU"/>
              </w:rPr>
              <w:t>Периметр офтальмологічний,  лампа щілинна (за кодом ЄЗС ДК 021:2015: 33120000-7 Системи реєстрації медичної інформації та дослідне обладнання; за кодом НК 024:2023(периметр офтальмологічний: 16918  Автома</w:t>
            </w:r>
            <w:r w:rsidR="00DD6744">
              <w:rPr>
                <w:rFonts w:ascii="Times New Roman" w:eastAsia="Arial" w:hAnsi="Times New Roman" w:cs="Times New Roman"/>
                <w:sz w:val="24"/>
                <w:szCs w:val="24"/>
                <w:lang w:val="uk-UA" w:eastAsia="ru-RU"/>
              </w:rPr>
              <w:t xml:space="preserve">тичний периметр; лампа щілинна: </w:t>
            </w:r>
            <w:r w:rsidRPr="00910C50">
              <w:rPr>
                <w:rFonts w:ascii="Times New Roman" w:eastAsia="Arial" w:hAnsi="Times New Roman" w:cs="Times New Roman"/>
                <w:sz w:val="24"/>
                <w:szCs w:val="24"/>
                <w:lang w:val="uk-UA" w:eastAsia="ru-RU"/>
              </w:rPr>
              <w:t>35148 Лампа щілинна офтальмологічна оглядова))</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910C50"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910C50" w:rsidRDefault="00910C50" w:rsidP="00654581">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w:t>
            </w:r>
            <w:r w:rsidRPr="00910C50">
              <w:rPr>
                <w:rFonts w:ascii="Times New Roman" w:eastAsia="Times New Roman" w:hAnsi="Times New Roman" w:cs="Times New Roman"/>
                <w:color w:val="000000"/>
                <w:sz w:val="24"/>
                <w:szCs w:val="24"/>
                <w:lang w:val="uk-UA" w:eastAsia="ru-RU"/>
              </w:rPr>
              <w:t>ериметр офтальмологічний</w:t>
            </w:r>
            <w:r w:rsidR="00DD6744">
              <w:rPr>
                <w:rFonts w:ascii="Times New Roman" w:eastAsia="Times New Roman" w:hAnsi="Times New Roman" w:cs="Times New Roman"/>
                <w:color w:val="000000"/>
                <w:sz w:val="24"/>
                <w:szCs w:val="24"/>
                <w:lang w:val="uk-UA" w:eastAsia="ru-RU"/>
              </w:rPr>
              <w:t>- 1 комплект</w:t>
            </w:r>
            <w:r w:rsidRPr="00910C50">
              <w:rPr>
                <w:rFonts w:ascii="Times New Roman" w:eastAsia="Times New Roman" w:hAnsi="Times New Roman" w:cs="Times New Roman"/>
                <w:color w:val="000000"/>
                <w:sz w:val="24"/>
                <w:szCs w:val="24"/>
                <w:lang w:val="uk-UA" w:eastAsia="ru-RU"/>
              </w:rPr>
              <w:t xml:space="preserve">, </w:t>
            </w:r>
          </w:p>
          <w:p w:rsidR="00F312E0" w:rsidRDefault="00910C50"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910C50">
              <w:rPr>
                <w:rFonts w:ascii="Times New Roman" w:eastAsia="Times New Roman" w:hAnsi="Times New Roman" w:cs="Times New Roman"/>
                <w:color w:val="000000"/>
                <w:sz w:val="24"/>
                <w:szCs w:val="24"/>
                <w:lang w:val="uk-UA" w:eastAsia="ru-RU"/>
              </w:rPr>
              <w:t>лампа щілинна</w:t>
            </w:r>
            <w:r>
              <w:rPr>
                <w:rFonts w:ascii="Times New Roman" w:eastAsia="Times New Roman" w:hAnsi="Times New Roman" w:cs="Times New Roman"/>
                <w:color w:val="000000"/>
                <w:sz w:val="24"/>
                <w:szCs w:val="24"/>
                <w:lang w:val="uk-UA" w:eastAsia="ru-RU"/>
              </w:rPr>
              <w:t>- 1 комплект</w:t>
            </w:r>
          </w:p>
          <w:p w:rsidR="001E28B3" w:rsidRDefault="001E28B3" w:rsidP="00654581">
            <w:pPr>
              <w:keepNext/>
              <w:keepLines/>
              <w:ind w:right="120"/>
              <w:contextualSpacing/>
              <w:jc w:val="both"/>
              <w:rPr>
                <w:rFonts w:ascii="Times New Roman" w:eastAsia="Times New Roman" w:hAnsi="Times New Roman" w:cs="Times New Roman"/>
                <w:color w:val="000000"/>
                <w:sz w:val="24"/>
                <w:szCs w:val="24"/>
                <w:lang w:val="uk-UA" w:eastAsia="ru-RU"/>
              </w:rPr>
            </w:pP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910C50" w:rsidP="00857212">
            <w:pPr>
              <w:keepNext/>
              <w:keepLines/>
              <w:ind w:right="120"/>
              <w:jc w:val="both"/>
              <w:rPr>
                <w:rFonts w:ascii="Times New Roman" w:hAnsi="Times New Roman" w:cs="Times New Roman"/>
                <w:sz w:val="24"/>
                <w:szCs w:val="24"/>
                <w:lang w:val="uk-UA"/>
              </w:rPr>
            </w:pPr>
            <w:r w:rsidRPr="00910C50">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910C50">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DD6744">
              <w:rPr>
                <w:rFonts w:ascii="Times New Roman" w:eastAsia="Times New Roman" w:hAnsi="Times New Roman" w:cs="Times New Roman"/>
                <w:b/>
                <w:color w:val="000000"/>
                <w:sz w:val="24"/>
                <w:szCs w:val="24"/>
                <w:lang w:val="uk-UA" w:eastAsia="ru-RU"/>
              </w:rPr>
              <w:t>27</w:t>
            </w:r>
            <w:r w:rsidRPr="00DF7030">
              <w:rPr>
                <w:rFonts w:ascii="Times New Roman" w:eastAsia="Times New Roman" w:hAnsi="Times New Roman" w:cs="Times New Roman"/>
                <w:b/>
                <w:color w:val="000000"/>
                <w:sz w:val="24"/>
                <w:szCs w:val="24"/>
                <w:lang w:val="uk-UA" w:eastAsia="ru-RU"/>
              </w:rPr>
              <w:t>.</w:t>
            </w:r>
            <w:r w:rsidR="001A6556">
              <w:rPr>
                <w:rFonts w:ascii="Times New Roman" w:eastAsia="Times New Roman" w:hAnsi="Times New Roman" w:cs="Times New Roman"/>
                <w:b/>
                <w:color w:val="000000"/>
                <w:sz w:val="24"/>
                <w:szCs w:val="24"/>
                <w:lang w:val="uk-UA" w:eastAsia="ru-RU"/>
              </w:rPr>
              <w:t>1</w:t>
            </w:r>
            <w:r w:rsidR="00C2268F">
              <w:rPr>
                <w:rFonts w:ascii="Times New Roman" w:eastAsia="Times New Roman" w:hAnsi="Times New Roman" w:cs="Times New Roman"/>
                <w:b/>
                <w:color w:val="000000"/>
                <w:sz w:val="24"/>
                <w:szCs w:val="24"/>
                <w:lang w:val="uk-UA" w:eastAsia="ru-RU"/>
              </w:rPr>
              <w:t>2</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910C5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 xml:space="preserve">У разі </w:t>
            </w:r>
            <w:r w:rsidR="009433B0" w:rsidRPr="0074780A">
              <w:rPr>
                <w:rFonts w:ascii="Times New Roman" w:hAnsi="Times New Roman" w:cs="Times New Roman"/>
                <w:sz w:val="24"/>
                <w:szCs w:val="24"/>
                <w:lang w:val="uk-UA"/>
              </w:rPr>
              <w:lastRenderedPageBreak/>
              <w:t>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910C50"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910C50"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w:t>
            </w:r>
            <w:r w:rsidRPr="007D71BB">
              <w:rPr>
                <w:rFonts w:ascii="Times New Roman" w:eastAsia="Times New Roman" w:hAnsi="Times New Roman" w:cs="Times New Roman"/>
                <w:sz w:val="24"/>
                <w:szCs w:val="24"/>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985407" w:rsidRDefault="00985407" w:rsidP="00985407">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p>
          <w:p w:rsidR="00985407" w:rsidRPr="00985407" w:rsidRDefault="00985407" w:rsidP="00985407">
            <w:pPr>
              <w:widowControl w:val="0"/>
              <w:ind w:left="644"/>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lastRenderedPageBreak/>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9. Подання документа учасником процедури закупівлі у складі тендерної пропозиції, який засвідчений підписом </w:t>
            </w:r>
            <w:r w:rsidRPr="0074780A">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w:t>
            </w:r>
            <w:r w:rsidR="003F790B" w:rsidRPr="0074780A">
              <w:rPr>
                <w:bCs/>
                <w:i/>
                <w:color w:val="000000"/>
                <w:lang w:val="uk-UA"/>
              </w:rPr>
              <w:lastRenderedPageBreak/>
              <w:t xml:space="preserve">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1"/>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2"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910C50"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910C50"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w:t>
                  </w:r>
                  <w:r w:rsidR="00872211">
                    <w:rPr>
                      <w:rFonts w:ascii="Times New Roman" w:hAnsi="Times New Roman" w:cs="Times New Roman"/>
                      <w:b/>
                      <w:i/>
                      <w:sz w:val="24"/>
                      <w:szCs w:val="24"/>
                      <w:shd w:val="clear" w:color="auto" w:fill="FFFFFF"/>
                      <w:lang w:val="uk-UA"/>
                    </w:rPr>
                    <w:t>товару</w:t>
                  </w:r>
                  <w:r w:rsidR="00C817A4">
                    <w:rPr>
                      <w:rFonts w:ascii="Times New Roman" w:hAnsi="Times New Roman" w:cs="Times New Roman"/>
                      <w:b/>
                      <w:i/>
                      <w:sz w:val="24"/>
                      <w:szCs w:val="24"/>
                      <w:shd w:val="clear" w:color="auto" w:fill="FFFFFF"/>
                      <w:lang w:val="uk-UA"/>
                    </w:rPr>
                    <w:t xml:space="preserve"> </w:t>
                  </w:r>
                  <w:r w:rsidR="0016394E" w:rsidRPr="0016394E">
                    <w:rPr>
                      <w:rFonts w:ascii="Times New Roman" w:hAnsi="Times New Roman" w:cs="Times New Roman"/>
                      <w:b/>
                      <w:i/>
                      <w:sz w:val="24"/>
                      <w:szCs w:val="24"/>
                      <w:shd w:val="clear" w:color="auto" w:fill="FFFFFF"/>
                      <w:lang w:val="uk-UA"/>
                    </w:rPr>
                    <w:t xml:space="preserve">за кодом ЄЗС ДК 021:2015: </w:t>
                  </w:r>
                  <w:r w:rsidR="00C673FA" w:rsidRPr="00C673FA">
                    <w:rPr>
                      <w:rFonts w:ascii="Times New Roman" w:eastAsia="Times New Roman" w:hAnsi="Times New Roman" w:cs="Times New Roman"/>
                      <w:b/>
                      <w:i/>
                      <w:sz w:val="24"/>
                      <w:szCs w:val="24"/>
                      <w:lang w:val="uk-UA" w:eastAsia="zh-CN"/>
                    </w:rPr>
                    <w:t xml:space="preserve">33120000-7 </w:t>
                  </w:r>
                  <w:r w:rsidR="005C296F">
                    <w:rPr>
                      <w:rFonts w:ascii="Times New Roman" w:eastAsia="Times New Roman" w:hAnsi="Times New Roman" w:cs="Times New Roman"/>
                      <w:b/>
                      <w:i/>
                      <w:sz w:val="24"/>
                      <w:szCs w:val="24"/>
                      <w:lang w:val="uk-UA" w:eastAsia="zh-CN"/>
                    </w:rPr>
                    <w:t>«</w:t>
                  </w:r>
                  <w:r w:rsidR="00C673FA" w:rsidRPr="00C673FA">
                    <w:rPr>
                      <w:rFonts w:ascii="Times New Roman" w:eastAsia="Times New Roman" w:hAnsi="Times New Roman" w:cs="Times New Roman"/>
                      <w:b/>
                      <w:i/>
                      <w:sz w:val="24"/>
                      <w:szCs w:val="24"/>
                      <w:lang w:val="uk-UA" w:eastAsia="zh-CN"/>
                    </w:rPr>
                    <w:t>Системи реєстрації медичної інформації та дослідне обладнання</w:t>
                  </w:r>
                  <w:r w:rsidR="005C296F">
                    <w:rPr>
                      <w:rFonts w:ascii="Times New Roman" w:eastAsia="Times New Roman" w:hAnsi="Times New Roman" w:cs="Times New Roman"/>
                      <w:b/>
                      <w:i/>
                      <w:sz w:val="24"/>
                      <w:szCs w:val="24"/>
                      <w:lang w:val="uk-UA" w:eastAsia="zh-CN"/>
                    </w:rPr>
                    <w:t xml:space="preserve">» та /або медичного обладнання за кодом </w:t>
                  </w:r>
                  <w:r w:rsidR="005C296F" w:rsidRPr="005C296F">
                    <w:rPr>
                      <w:rFonts w:ascii="Times New Roman" w:eastAsia="Times New Roman" w:hAnsi="Times New Roman" w:cs="Times New Roman"/>
                      <w:b/>
                      <w:i/>
                      <w:sz w:val="24"/>
                      <w:szCs w:val="24"/>
                      <w:lang w:val="uk-UA" w:eastAsia="zh-CN"/>
                    </w:rPr>
                    <w:t>33110000-4</w:t>
                  </w:r>
                  <w:r w:rsidR="005C296F">
                    <w:rPr>
                      <w:rFonts w:ascii="Times New Roman" w:eastAsia="Times New Roman" w:hAnsi="Times New Roman" w:cs="Times New Roman"/>
                      <w:b/>
                      <w:i/>
                      <w:sz w:val="24"/>
                      <w:szCs w:val="24"/>
                      <w:lang w:val="uk-UA" w:eastAsia="zh-CN"/>
                    </w:rPr>
                    <w:t xml:space="preserve"> «</w:t>
                  </w:r>
                  <w:r w:rsidR="005C296F" w:rsidRPr="005C296F">
                    <w:rPr>
                      <w:rFonts w:ascii="Times New Roman" w:eastAsia="Times New Roman" w:hAnsi="Times New Roman" w:cs="Times New Roman"/>
                      <w:b/>
                      <w:i/>
                      <w:sz w:val="24"/>
                      <w:szCs w:val="24"/>
                      <w:lang w:val="uk-UA" w:eastAsia="zh-CN"/>
                    </w:rPr>
                    <w:t>Візуалізаційне обладнання для потреб медицини, стоматології та ветеринарної медицини</w:t>
                  </w:r>
                  <w:r w:rsidR="005C296F">
                    <w:rPr>
                      <w:rFonts w:ascii="Times New Roman" w:eastAsia="Times New Roman" w:hAnsi="Times New Roman" w:cs="Times New Roman"/>
                      <w:b/>
                      <w:i/>
                      <w:sz w:val="24"/>
                      <w:szCs w:val="24"/>
                      <w:lang w:val="uk-UA" w:eastAsia="zh-CN"/>
                    </w:rPr>
                    <w:t>» та/або 3319</w:t>
                  </w:r>
                  <w:r w:rsidR="005C296F" w:rsidRPr="005C296F">
                    <w:rPr>
                      <w:rFonts w:ascii="Times New Roman" w:eastAsia="Times New Roman" w:hAnsi="Times New Roman" w:cs="Times New Roman"/>
                      <w:b/>
                      <w:i/>
                      <w:sz w:val="24"/>
                      <w:szCs w:val="24"/>
                      <w:lang w:val="uk-UA" w:eastAsia="zh-CN"/>
                    </w:rPr>
                    <w:t xml:space="preserve">0000-8 </w:t>
                  </w:r>
                  <w:r w:rsidR="005C296F">
                    <w:rPr>
                      <w:rFonts w:ascii="Times New Roman" w:eastAsia="Times New Roman" w:hAnsi="Times New Roman" w:cs="Times New Roman"/>
                      <w:b/>
                      <w:i/>
                      <w:sz w:val="24"/>
                      <w:szCs w:val="24"/>
                      <w:lang w:val="uk-UA" w:eastAsia="zh-CN"/>
                    </w:rPr>
                    <w:t>«</w:t>
                  </w:r>
                  <w:r w:rsidR="005C296F" w:rsidRPr="005C296F">
                    <w:rPr>
                      <w:rFonts w:ascii="Times New Roman" w:eastAsia="Times New Roman" w:hAnsi="Times New Roman" w:cs="Times New Roman"/>
                      <w:b/>
                      <w:i/>
                      <w:sz w:val="24"/>
                      <w:szCs w:val="24"/>
                      <w:lang w:val="uk-UA" w:eastAsia="zh-CN"/>
                    </w:rPr>
                    <w:t>Медичне обладнання та вироби медичного призначення різні</w:t>
                  </w:r>
                  <w:r w:rsidR="005C296F">
                    <w:rPr>
                      <w:rFonts w:ascii="Times New Roman" w:eastAsia="Times New Roman" w:hAnsi="Times New Roman" w:cs="Times New Roman"/>
                      <w:b/>
                      <w:i/>
                      <w:sz w:val="24"/>
                      <w:szCs w:val="24"/>
                      <w:lang w:val="uk-UA" w:eastAsia="zh-CN"/>
                    </w:rPr>
                    <w:t>»</w:t>
                  </w:r>
                  <w:r w:rsidR="00872211" w:rsidRPr="00872211">
                    <w:rPr>
                      <w:rFonts w:ascii="Times New Roman" w:eastAsia="Times New Roman" w:hAnsi="Times New Roman" w:cs="Times New Roman"/>
                      <w:b/>
                      <w:i/>
                      <w:sz w:val="24"/>
                      <w:szCs w:val="24"/>
                      <w:lang w:val="uk-UA" w:eastAsia="zh-CN"/>
                    </w:rPr>
                    <w:t xml:space="preserve"> </w:t>
                  </w:r>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 xml:space="preserve">(вказати не </w:t>
                  </w:r>
                  <w:r w:rsidRPr="009760A6">
                    <w:rPr>
                      <w:rFonts w:ascii="Times New Roman" w:eastAsia="Times New Roman" w:hAnsi="Times New Roman" w:cs="Times New Roman"/>
                      <w:color w:val="000000"/>
                      <w:sz w:val="24"/>
                      <w:szCs w:val="24"/>
                      <w:lang w:val="uk-UA"/>
                    </w:rPr>
                    <w:lastRenderedPageBreak/>
                    <w:t>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D20148"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w:t>
            </w:r>
            <w:r w:rsidR="00D20148" w:rsidRPr="00D20148">
              <w:rPr>
                <w:rFonts w:ascii="Times New Roman" w:eastAsia="Times New Roman" w:hAnsi="Times New Roman" w:cs="Times New Roman"/>
                <w:bCs/>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w:t>
            </w:r>
            <w:r w:rsidRPr="00142FAB">
              <w:rPr>
                <w:rFonts w:ascii="Times New Roman" w:eastAsia="Times New Roman" w:hAnsi="Times New Roman" w:cs="Times New Roman"/>
                <w:sz w:val="24"/>
                <w:szCs w:val="24"/>
                <w:lang w:val="uk-UA" w:eastAsia="uk-UA"/>
              </w:rPr>
              <w:lastRenderedPageBreak/>
              <w:t>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910C50"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1A5141">
              <w:rPr>
                <w:rFonts w:ascii="Times New Roman" w:eastAsia="Times New Roman" w:hAnsi="Times New Roman" w:cs="Times New Roman"/>
                <w:b/>
                <w:sz w:val="24"/>
                <w:szCs w:val="24"/>
                <w:lang w:val="uk-UA" w:eastAsia="ru-RU"/>
              </w:rPr>
              <w:t>1</w:t>
            </w:r>
            <w:r w:rsidR="004F3CFB">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w:t>
            </w:r>
            <w:r w:rsidR="00872211">
              <w:rPr>
                <w:rFonts w:ascii="Times New Roman" w:eastAsia="Times New Roman" w:hAnsi="Times New Roman" w:cs="Times New Roman"/>
                <w:b/>
                <w:sz w:val="24"/>
                <w:szCs w:val="24"/>
                <w:lang w:val="uk-UA" w:eastAsia="ru-RU"/>
              </w:rPr>
              <w:t>1</w:t>
            </w:r>
            <w:r w:rsidR="001A5141">
              <w:rPr>
                <w:rFonts w:ascii="Times New Roman" w:eastAsia="Times New Roman" w:hAnsi="Times New Roman" w:cs="Times New Roman"/>
                <w:b/>
                <w:sz w:val="24"/>
                <w:szCs w:val="24"/>
                <w:lang w:val="uk-UA" w:eastAsia="ru-RU"/>
              </w:rPr>
              <w:t>1</w:t>
            </w:r>
            <w:bookmarkStart w:id="3" w:name="_GoBack"/>
            <w:bookmarkEnd w:id="3"/>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910C50"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w:t>
            </w:r>
            <w:r w:rsidRPr="00851510">
              <w:rPr>
                <w:rFonts w:ascii="Times New Roman" w:eastAsia="Times New Roman" w:hAnsi="Times New Roman" w:cs="Times New Roman"/>
                <w:sz w:val="24"/>
                <w:szCs w:val="24"/>
                <w:lang w:val="uk-UA" w:eastAsia="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C073CF">
              <w:rPr>
                <w:rFonts w:ascii="Times New Roman" w:eastAsia="Times New Roman" w:hAnsi="Times New Roman" w:cs="Times New Roman"/>
                <w:sz w:val="24"/>
                <w:szCs w:val="24"/>
                <w:lang w:val="uk-UA" w:eastAsia="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lastRenderedPageBreak/>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8F7840">
              <w:rPr>
                <w:rFonts w:ascii="Times New Roman" w:eastAsia="Times New Roman" w:hAnsi="Times New Roman" w:cs="Times New Roman"/>
                <w:sz w:val="24"/>
                <w:szCs w:val="24"/>
                <w:lang w:val="uk-UA"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910C50"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910C50"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w:t>
            </w:r>
            <w:r w:rsidRPr="00FD63E0">
              <w:rPr>
                <w:rFonts w:ascii="Times New Roman" w:eastAsia="Times New Roman" w:hAnsi="Times New Roman" w:cs="Times New Roman"/>
                <w:sz w:val="24"/>
                <w:szCs w:val="24"/>
                <w:lang w:val="uk-UA" w:eastAsia="uk-UA"/>
              </w:rPr>
              <w:lastRenderedPageBreak/>
              <w:t>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D3582B" w:rsidRPr="00851510">
              <w:rPr>
                <w:rFonts w:ascii="Times New Roman" w:eastAsia="Times New Roman" w:hAnsi="Times New Roman" w:cs="Times New Roman"/>
                <w:sz w:val="24"/>
                <w:szCs w:val="24"/>
                <w:lang w:val="uk-UA" w:eastAsia="uk-UA"/>
              </w:rPr>
              <w:lastRenderedPageBreak/>
              <w:t xml:space="preserve">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D455B">
              <w:rPr>
                <w:rFonts w:ascii="Times New Roman" w:eastAsia="Times New Roman" w:hAnsi="Times New Roman" w:cs="Times New Roman"/>
                <w:sz w:val="24"/>
                <w:szCs w:val="24"/>
                <w:lang w:val="uk-UA" w:eastAsia="uk-UA"/>
              </w:rPr>
              <w:lastRenderedPageBreak/>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 xml:space="preserve">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w:t>
            </w:r>
            <w:r w:rsidRPr="008457E1">
              <w:rPr>
                <w:rFonts w:ascii="Times New Roman" w:eastAsia="Times New Roman" w:hAnsi="Times New Roman" w:cs="Times New Roman"/>
                <w:sz w:val="24"/>
                <w:szCs w:val="24"/>
                <w:lang w:val="uk-UA" w:eastAsia="uk-UA"/>
              </w:rPr>
              <w:lastRenderedPageBreak/>
              <w:t>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r w:rsidR="00A63A9F">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w:t>
            </w:r>
            <w:r w:rsidR="00EA10C7" w:rsidRPr="004E6F91">
              <w:rPr>
                <w:rFonts w:ascii="Times New Roman" w:eastAsia="Times New Roman" w:hAnsi="Times New Roman" w:cs="Times New Roman"/>
                <w:i/>
                <w:sz w:val="24"/>
                <w:szCs w:val="24"/>
                <w:lang w:val="uk-UA" w:eastAsia="ru-RU"/>
              </w:rPr>
              <w:lastRenderedPageBreak/>
              <w:t>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E6F91">
              <w:rPr>
                <w:rFonts w:ascii="Times New Roman" w:eastAsia="Times New Roman" w:hAnsi="Times New Roman" w:cs="Times New Roman"/>
                <w:sz w:val="24"/>
                <w:szCs w:val="24"/>
                <w:lang w:val="uk-UA"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A63A9F" w:rsidRDefault="00A63A9F" w:rsidP="00A63A9F">
            <w:pPr>
              <w:tabs>
                <w:tab w:val="left" w:pos="0"/>
                <w:tab w:val="left" w:pos="142"/>
              </w:tabs>
              <w:jc w:val="both"/>
              <w:rPr>
                <w:rFonts w:ascii="Times New Roman" w:eastAsia="Times New Roman" w:hAnsi="Times New Roman" w:cs="Times New Roman"/>
                <w:sz w:val="24"/>
                <w:szCs w:val="24"/>
                <w:lang w:val="uk-UA" w:eastAsia="ru-RU"/>
              </w:rPr>
            </w:pPr>
          </w:p>
          <w:p w:rsidR="00F5220E" w:rsidRPr="00A63A9F" w:rsidRDefault="005F459B" w:rsidP="00A63A9F">
            <w:pPr>
              <w:tabs>
                <w:tab w:val="left" w:pos="0"/>
                <w:tab w:val="left" w:pos="142"/>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w:t>
            </w:r>
            <w:r w:rsidRPr="005F459B">
              <w:rPr>
                <w:rFonts w:ascii="Times New Roman" w:eastAsia="Times New Roman" w:hAnsi="Times New Roman" w:cs="Times New Roman"/>
                <w:sz w:val="24"/>
                <w:szCs w:val="24"/>
                <w:lang w:val="uk-UA" w:eastAsia="ru-RU"/>
              </w:rPr>
              <w:t>умов ч. 6. ст. 41 Закону</w:t>
            </w:r>
            <w:r>
              <w:rPr>
                <w:rFonts w:ascii="Times New Roman" w:eastAsia="Times New Roman" w:hAnsi="Times New Roman" w:cs="Times New Roman"/>
                <w:sz w:val="24"/>
                <w:szCs w:val="24"/>
                <w:lang w:val="uk-UA" w:eastAsia="ru-RU"/>
              </w:rPr>
              <w:t xml:space="preserve"> :</w:t>
            </w:r>
            <w:r>
              <w:t xml:space="preserve"> </w:t>
            </w:r>
            <w:r w:rsidRPr="005F459B">
              <w:rPr>
                <w:rFonts w:ascii="Times New Roman" w:eastAsia="Times New Roman" w:hAnsi="Times New Roman" w:cs="Times New Roman"/>
                <w:sz w:val="24"/>
                <w:szCs w:val="24"/>
                <w:lang w:val="uk-UA" w:eastAsia="ru-RU"/>
              </w:rPr>
              <w:t xml:space="preserve">«Дія договору про закупівлю </w:t>
            </w:r>
            <w:r w:rsidRPr="00977CD5">
              <w:rPr>
                <w:rFonts w:ascii="Times New Roman" w:eastAsia="Times New Roman" w:hAnsi="Times New Roman" w:cs="Times New Roman"/>
                <w:sz w:val="24"/>
                <w:szCs w:val="24"/>
                <w:u w:val="single"/>
                <w:lang w:val="uk-UA" w:eastAsia="ru-RU"/>
              </w:rPr>
              <w:t>може бути продовжена</w:t>
            </w:r>
            <w:r w:rsidRPr="005F459B">
              <w:rPr>
                <w:rFonts w:ascii="Times New Roman" w:eastAsia="Times New Roman" w:hAnsi="Times New Roman" w:cs="Times New Roman"/>
                <w:sz w:val="24"/>
                <w:szCs w:val="24"/>
                <w:lang w:val="uk-UA" w:eastAsia="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ru-RU"/>
              </w:rPr>
              <w:t>.</w:t>
            </w:r>
          </w:p>
          <w:p w:rsidR="003D7391" w:rsidRPr="00F471FA" w:rsidRDefault="005F459B" w:rsidP="00F312E0">
            <w:pPr>
              <w:tabs>
                <w:tab w:val="left" w:pos="601"/>
              </w:tabs>
              <w:jc w:val="both"/>
              <w:rPr>
                <w:rFonts w:ascii="Times New Roman" w:eastAsia="Times New Roman" w:hAnsi="Times New Roman" w:cs="Times New Roman"/>
                <w:color w:val="000000"/>
                <w:sz w:val="24"/>
                <w:szCs w:val="24"/>
                <w:lang w:val="uk-UA" w:eastAsia="ru-RU"/>
              </w:rPr>
            </w:pPr>
            <w:r w:rsidRPr="00F471FA">
              <w:rPr>
                <w:rFonts w:ascii="Times New Roman" w:eastAsia="Times New Roman" w:hAnsi="Times New Roman" w:cs="Times New Roman"/>
                <w:color w:val="000000"/>
                <w:sz w:val="24"/>
                <w:szCs w:val="24"/>
                <w:lang w:val="uk-UA" w:eastAsia="ru-RU"/>
              </w:rPr>
              <w:t xml:space="preserve">Замовник не встановлює  вимогу у </w:t>
            </w:r>
            <w:r w:rsidR="00F471FA">
              <w:rPr>
                <w:rFonts w:ascii="Times New Roman" w:eastAsia="Times New Roman" w:hAnsi="Times New Roman" w:cs="Times New Roman"/>
                <w:color w:val="000000"/>
                <w:sz w:val="24"/>
                <w:szCs w:val="24"/>
                <w:lang w:val="uk-UA" w:eastAsia="ru-RU"/>
              </w:rPr>
              <w:t xml:space="preserve">даній </w:t>
            </w:r>
            <w:r w:rsidRPr="00F471FA">
              <w:rPr>
                <w:rFonts w:ascii="Times New Roman" w:eastAsia="Times New Roman" w:hAnsi="Times New Roman" w:cs="Times New Roman"/>
                <w:color w:val="000000"/>
                <w:sz w:val="24"/>
                <w:szCs w:val="24"/>
                <w:lang w:val="uk-UA" w:eastAsia="ru-RU"/>
              </w:rPr>
              <w:t xml:space="preserve">тендерній документації у відповідності до пункту 8 частини 2 статті 22 Закону та підпункту 8 пункту 19 Особливостей, тому що у Замовника немає потреби у продовженні строку дії договору  в обсязі, що не перевищує 20 відсотків суми, визначеної в початковому договорі про закупівлю,  при закупівлі </w:t>
            </w:r>
            <w:r w:rsidR="00F312E0">
              <w:rPr>
                <w:rFonts w:ascii="Times New Roman" w:eastAsia="Times New Roman" w:hAnsi="Times New Roman" w:cs="Times New Roman"/>
                <w:color w:val="000000"/>
                <w:sz w:val="24"/>
                <w:szCs w:val="24"/>
                <w:lang w:val="uk-UA" w:eastAsia="ru-RU"/>
              </w:rPr>
              <w:t xml:space="preserve">предмету закупівлі </w:t>
            </w:r>
            <w:r w:rsidRPr="00F471FA">
              <w:rPr>
                <w:rFonts w:ascii="Times New Roman" w:eastAsia="Times New Roman" w:hAnsi="Times New Roman" w:cs="Times New Roman"/>
                <w:color w:val="000000"/>
                <w:sz w:val="24"/>
                <w:szCs w:val="24"/>
                <w:lang w:val="uk-UA" w:eastAsia="ru-RU"/>
              </w:rPr>
              <w:t xml:space="preserve"> з одноразовою поставкою у поточному році.</w:t>
            </w: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lastRenderedPageBreak/>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C8" w:rsidRDefault="00401DC8" w:rsidP="006D76D6">
      <w:pPr>
        <w:spacing w:after="0" w:line="240" w:lineRule="auto"/>
      </w:pPr>
      <w:r>
        <w:separator/>
      </w:r>
    </w:p>
  </w:endnote>
  <w:endnote w:type="continuationSeparator" w:id="0">
    <w:p w:rsidR="00401DC8" w:rsidRDefault="00401DC8"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Content>
      <w:p w:rsidR="00910C50" w:rsidRDefault="00910C50">
        <w:pPr>
          <w:pStyle w:val="af0"/>
          <w:jc w:val="right"/>
        </w:pPr>
        <w:r>
          <w:fldChar w:fldCharType="begin"/>
        </w:r>
        <w:r>
          <w:instrText>PAGE   \* MERGEFORMAT</w:instrText>
        </w:r>
        <w:r>
          <w:fldChar w:fldCharType="separate"/>
        </w:r>
        <w:r w:rsidR="001A5141">
          <w:rPr>
            <w:noProof/>
          </w:rPr>
          <w:t>28</w:t>
        </w:r>
        <w:r>
          <w:fldChar w:fldCharType="end"/>
        </w:r>
      </w:p>
    </w:sdtContent>
  </w:sdt>
  <w:p w:rsidR="00910C50" w:rsidRDefault="00910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C8" w:rsidRDefault="00401DC8" w:rsidP="006D76D6">
      <w:pPr>
        <w:spacing w:after="0" w:line="240" w:lineRule="auto"/>
      </w:pPr>
      <w:r>
        <w:separator/>
      </w:r>
    </w:p>
  </w:footnote>
  <w:footnote w:type="continuationSeparator" w:id="0">
    <w:p w:rsidR="00401DC8" w:rsidRDefault="00401DC8"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17B9B"/>
    <w:rsid w:val="00023C4F"/>
    <w:rsid w:val="000308CA"/>
    <w:rsid w:val="00043F7F"/>
    <w:rsid w:val="00050F91"/>
    <w:rsid w:val="0005506E"/>
    <w:rsid w:val="00056020"/>
    <w:rsid w:val="000568CD"/>
    <w:rsid w:val="00057D10"/>
    <w:rsid w:val="00062008"/>
    <w:rsid w:val="00065970"/>
    <w:rsid w:val="0008578E"/>
    <w:rsid w:val="000865AC"/>
    <w:rsid w:val="00087AC0"/>
    <w:rsid w:val="00087BC7"/>
    <w:rsid w:val="000901FE"/>
    <w:rsid w:val="00092688"/>
    <w:rsid w:val="000927C2"/>
    <w:rsid w:val="0009293F"/>
    <w:rsid w:val="00092D70"/>
    <w:rsid w:val="00097454"/>
    <w:rsid w:val="000A5D3E"/>
    <w:rsid w:val="000A66D5"/>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2573F"/>
    <w:rsid w:val="0013389D"/>
    <w:rsid w:val="001401F5"/>
    <w:rsid w:val="00142FAB"/>
    <w:rsid w:val="00144AEA"/>
    <w:rsid w:val="00144FF2"/>
    <w:rsid w:val="00145F23"/>
    <w:rsid w:val="00152B2A"/>
    <w:rsid w:val="00154B8B"/>
    <w:rsid w:val="00155A6A"/>
    <w:rsid w:val="001612F3"/>
    <w:rsid w:val="0016394E"/>
    <w:rsid w:val="00167BCA"/>
    <w:rsid w:val="00177B31"/>
    <w:rsid w:val="001813C7"/>
    <w:rsid w:val="00184B42"/>
    <w:rsid w:val="00186916"/>
    <w:rsid w:val="00187CFB"/>
    <w:rsid w:val="0019285E"/>
    <w:rsid w:val="001934AC"/>
    <w:rsid w:val="001A0A50"/>
    <w:rsid w:val="001A37D1"/>
    <w:rsid w:val="001A393B"/>
    <w:rsid w:val="001A5141"/>
    <w:rsid w:val="001A6556"/>
    <w:rsid w:val="001B380E"/>
    <w:rsid w:val="001B6031"/>
    <w:rsid w:val="001C089C"/>
    <w:rsid w:val="001C3193"/>
    <w:rsid w:val="001C7687"/>
    <w:rsid w:val="001D00F1"/>
    <w:rsid w:val="001D3C9F"/>
    <w:rsid w:val="001E206A"/>
    <w:rsid w:val="001E28B3"/>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7F78"/>
    <w:rsid w:val="002E1F6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5F92"/>
    <w:rsid w:val="003F790B"/>
    <w:rsid w:val="00401DC8"/>
    <w:rsid w:val="0040481F"/>
    <w:rsid w:val="00404D00"/>
    <w:rsid w:val="004078EF"/>
    <w:rsid w:val="00410ED0"/>
    <w:rsid w:val="004111D0"/>
    <w:rsid w:val="0042589C"/>
    <w:rsid w:val="00430DBD"/>
    <w:rsid w:val="00434982"/>
    <w:rsid w:val="00442E30"/>
    <w:rsid w:val="0044461A"/>
    <w:rsid w:val="00444682"/>
    <w:rsid w:val="00444CD7"/>
    <w:rsid w:val="00454483"/>
    <w:rsid w:val="004567DD"/>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62CA"/>
    <w:rsid w:val="00587C0E"/>
    <w:rsid w:val="0059068B"/>
    <w:rsid w:val="00591CF8"/>
    <w:rsid w:val="00594259"/>
    <w:rsid w:val="005A0A46"/>
    <w:rsid w:val="005A6988"/>
    <w:rsid w:val="005A69FC"/>
    <w:rsid w:val="005B614F"/>
    <w:rsid w:val="005B6B13"/>
    <w:rsid w:val="005C11DF"/>
    <w:rsid w:val="005C296F"/>
    <w:rsid w:val="005E0747"/>
    <w:rsid w:val="005E0BB1"/>
    <w:rsid w:val="005E3FE0"/>
    <w:rsid w:val="005F459B"/>
    <w:rsid w:val="005F5B90"/>
    <w:rsid w:val="005F6ED0"/>
    <w:rsid w:val="00605F0A"/>
    <w:rsid w:val="00610A28"/>
    <w:rsid w:val="006150B8"/>
    <w:rsid w:val="00616E7A"/>
    <w:rsid w:val="006217A6"/>
    <w:rsid w:val="00621E9A"/>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77DC8"/>
    <w:rsid w:val="006827E5"/>
    <w:rsid w:val="00684FA9"/>
    <w:rsid w:val="00685CA6"/>
    <w:rsid w:val="00691584"/>
    <w:rsid w:val="006955D5"/>
    <w:rsid w:val="0069733E"/>
    <w:rsid w:val="006A22B0"/>
    <w:rsid w:val="006B110D"/>
    <w:rsid w:val="006B184D"/>
    <w:rsid w:val="006B23FF"/>
    <w:rsid w:val="006C7502"/>
    <w:rsid w:val="006D0D5E"/>
    <w:rsid w:val="006D604C"/>
    <w:rsid w:val="006D76D6"/>
    <w:rsid w:val="006D7884"/>
    <w:rsid w:val="006D7C68"/>
    <w:rsid w:val="006E1CEC"/>
    <w:rsid w:val="006E4870"/>
    <w:rsid w:val="006E6C1B"/>
    <w:rsid w:val="006F3384"/>
    <w:rsid w:val="007015A1"/>
    <w:rsid w:val="00701668"/>
    <w:rsid w:val="0070176B"/>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233A"/>
    <w:rsid w:val="00754E98"/>
    <w:rsid w:val="00760B3D"/>
    <w:rsid w:val="00762F31"/>
    <w:rsid w:val="00770E94"/>
    <w:rsid w:val="007830BB"/>
    <w:rsid w:val="00784942"/>
    <w:rsid w:val="00787458"/>
    <w:rsid w:val="007A4865"/>
    <w:rsid w:val="007A4CD9"/>
    <w:rsid w:val="007A62CA"/>
    <w:rsid w:val="007A7BD5"/>
    <w:rsid w:val="007B096A"/>
    <w:rsid w:val="007B2EA4"/>
    <w:rsid w:val="007B7AAF"/>
    <w:rsid w:val="007C019A"/>
    <w:rsid w:val="007C7A12"/>
    <w:rsid w:val="007D594B"/>
    <w:rsid w:val="007D71BB"/>
    <w:rsid w:val="007E16CC"/>
    <w:rsid w:val="007E671C"/>
    <w:rsid w:val="007F2E6B"/>
    <w:rsid w:val="007F321C"/>
    <w:rsid w:val="007F6F87"/>
    <w:rsid w:val="008003CC"/>
    <w:rsid w:val="00801216"/>
    <w:rsid w:val="00801472"/>
    <w:rsid w:val="0080261F"/>
    <w:rsid w:val="00804DAE"/>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5733F"/>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0C50"/>
    <w:rsid w:val="0091111E"/>
    <w:rsid w:val="009145A8"/>
    <w:rsid w:val="00914AD9"/>
    <w:rsid w:val="009251D9"/>
    <w:rsid w:val="0092593A"/>
    <w:rsid w:val="00932989"/>
    <w:rsid w:val="00935BBF"/>
    <w:rsid w:val="00937164"/>
    <w:rsid w:val="00941335"/>
    <w:rsid w:val="009433B0"/>
    <w:rsid w:val="0094402F"/>
    <w:rsid w:val="00945D82"/>
    <w:rsid w:val="00946BCE"/>
    <w:rsid w:val="009527BA"/>
    <w:rsid w:val="00953E0D"/>
    <w:rsid w:val="0095407C"/>
    <w:rsid w:val="0096014F"/>
    <w:rsid w:val="00960974"/>
    <w:rsid w:val="00962899"/>
    <w:rsid w:val="00965585"/>
    <w:rsid w:val="009760A6"/>
    <w:rsid w:val="00977CD5"/>
    <w:rsid w:val="0098417C"/>
    <w:rsid w:val="009843A9"/>
    <w:rsid w:val="00985407"/>
    <w:rsid w:val="00994C12"/>
    <w:rsid w:val="00995C86"/>
    <w:rsid w:val="009A2C08"/>
    <w:rsid w:val="009A4E4E"/>
    <w:rsid w:val="009A5C1B"/>
    <w:rsid w:val="009A7B22"/>
    <w:rsid w:val="009B1D32"/>
    <w:rsid w:val="009B729C"/>
    <w:rsid w:val="009C1C5A"/>
    <w:rsid w:val="009C48F5"/>
    <w:rsid w:val="009C5FEA"/>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39D8"/>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4CC"/>
    <w:rsid w:val="00A53B9A"/>
    <w:rsid w:val="00A5440B"/>
    <w:rsid w:val="00A55B5F"/>
    <w:rsid w:val="00A560BA"/>
    <w:rsid w:val="00A60644"/>
    <w:rsid w:val="00A60C3B"/>
    <w:rsid w:val="00A63A9F"/>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D7135"/>
    <w:rsid w:val="00AE00C0"/>
    <w:rsid w:val="00AE0BC7"/>
    <w:rsid w:val="00AE7DF3"/>
    <w:rsid w:val="00AF1FDB"/>
    <w:rsid w:val="00AF62B9"/>
    <w:rsid w:val="00AF7F80"/>
    <w:rsid w:val="00B014A4"/>
    <w:rsid w:val="00B02101"/>
    <w:rsid w:val="00B041C0"/>
    <w:rsid w:val="00B134C2"/>
    <w:rsid w:val="00B14C16"/>
    <w:rsid w:val="00B14C5F"/>
    <w:rsid w:val="00B17BB4"/>
    <w:rsid w:val="00B211F5"/>
    <w:rsid w:val="00B23454"/>
    <w:rsid w:val="00B2374D"/>
    <w:rsid w:val="00B2414F"/>
    <w:rsid w:val="00B27215"/>
    <w:rsid w:val="00B35B2C"/>
    <w:rsid w:val="00B405F1"/>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1CEB"/>
    <w:rsid w:val="00BF681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4E45"/>
    <w:rsid w:val="00C74F2D"/>
    <w:rsid w:val="00C779DD"/>
    <w:rsid w:val="00C817A4"/>
    <w:rsid w:val="00CA0634"/>
    <w:rsid w:val="00CA13CA"/>
    <w:rsid w:val="00CA25F5"/>
    <w:rsid w:val="00CA6441"/>
    <w:rsid w:val="00CB3939"/>
    <w:rsid w:val="00CC543D"/>
    <w:rsid w:val="00CC5653"/>
    <w:rsid w:val="00CC6482"/>
    <w:rsid w:val="00CC68E7"/>
    <w:rsid w:val="00CD1DBA"/>
    <w:rsid w:val="00CD4E1F"/>
    <w:rsid w:val="00CE0BE3"/>
    <w:rsid w:val="00CF0D48"/>
    <w:rsid w:val="00CF252F"/>
    <w:rsid w:val="00CF616E"/>
    <w:rsid w:val="00D03213"/>
    <w:rsid w:val="00D048C9"/>
    <w:rsid w:val="00D102A7"/>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72F2"/>
    <w:rsid w:val="00DD10BE"/>
    <w:rsid w:val="00DD2E37"/>
    <w:rsid w:val="00DD6744"/>
    <w:rsid w:val="00DD7AB3"/>
    <w:rsid w:val="00DE3A7F"/>
    <w:rsid w:val="00DE4DD3"/>
    <w:rsid w:val="00DF214F"/>
    <w:rsid w:val="00DF24E9"/>
    <w:rsid w:val="00DF3FD1"/>
    <w:rsid w:val="00DF7030"/>
    <w:rsid w:val="00E022C2"/>
    <w:rsid w:val="00E0271E"/>
    <w:rsid w:val="00E027EB"/>
    <w:rsid w:val="00E03101"/>
    <w:rsid w:val="00E123C9"/>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5863"/>
    <w:rsid w:val="00F0679A"/>
    <w:rsid w:val="00F10A85"/>
    <w:rsid w:val="00F15599"/>
    <w:rsid w:val="00F22DC6"/>
    <w:rsid w:val="00F24D4B"/>
    <w:rsid w:val="00F260E5"/>
    <w:rsid w:val="00F30AF0"/>
    <w:rsid w:val="00F312B9"/>
    <w:rsid w:val="00F312E0"/>
    <w:rsid w:val="00F323DE"/>
    <w:rsid w:val="00F32776"/>
    <w:rsid w:val="00F40CC1"/>
    <w:rsid w:val="00F40FF4"/>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2046-AFFF-49D8-BD45-8A6866A1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50177</Words>
  <Characters>28601</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2020-11-27T08:46:00Z</cp:lastPrinted>
  <dcterms:created xsi:type="dcterms:W3CDTF">2023-11-05T07:23:00Z</dcterms:created>
  <dcterms:modified xsi:type="dcterms:W3CDTF">2023-11-05T08:21:00Z</dcterms:modified>
</cp:coreProperties>
</file>