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B" w:rsidRDefault="007B3E2B">
      <w:pPr>
        <w:spacing w:after="0" w:line="240" w:lineRule="auto"/>
        <w:ind w:left="4962"/>
        <w:jc w:val="right"/>
        <w:rPr>
          <w:rFonts w:ascii="Times New Roman" w:hAnsi="Times New Roman" w:cs="Times New Roman"/>
          <w:i/>
          <w:sz w:val="18"/>
          <w:szCs w:val="18"/>
        </w:rPr>
      </w:pPr>
      <w:r>
        <w:rPr>
          <w:rFonts w:ascii="Times New Roman" w:hAnsi="Times New Roman" w:cs="Times New Roman"/>
          <w:b/>
          <w:i/>
          <w:color w:val="4A86E8"/>
          <w:sz w:val="20"/>
          <w:szCs w:val="20"/>
        </w:rPr>
        <w:t xml:space="preserve">Обґрунтування підстави застосування виключення за пп. 5 п. 13 Особливостей: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7B3E2B" w:rsidRPr="00D84E30" w:rsidRDefault="007B3E2B">
      <w:pPr>
        <w:spacing w:after="0" w:line="240" w:lineRule="auto"/>
        <w:ind w:left="4962"/>
        <w:jc w:val="right"/>
        <w:rPr>
          <w:rFonts w:ascii="Times New Roman" w:hAnsi="Times New Roman" w:cs="Times New Roman"/>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7B3E2B" w:rsidRDefault="007B3E2B">
      <w:pPr>
        <w:spacing w:after="0" w:line="240" w:lineRule="auto"/>
        <w:ind w:left="4962"/>
        <w:rPr>
          <w:rFonts w:ascii="Times New Roman" w:hAnsi="Times New Roman" w:cs="Times New Roman"/>
          <w:b/>
          <w:i/>
          <w:color w:val="4A86E8"/>
          <w:sz w:val="20"/>
          <w:szCs w:val="20"/>
        </w:rPr>
      </w:pPr>
    </w:p>
    <w:p w:rsidR="007B3E2B" w:rsidRDefault="007B3E2B">
      <w:pPr>
        <w:spacing w:after="0" w:line="240" w:lineRule="auto"/>
        <w:jc w:val="center"/>
        <w:rPr>
          <w:rFonts w:ascii="Times New Roman" w:hAnsi="Times New Roman" w:cs="Times New Roman"/>
          <w:b/>
          <w:sz w:val="20"/>
          <w:szCs w:val="20"/>
        </w:rPr>
      </w:pPr>
    </w:p>
    <w:p w:rsidR="007B3E2B" w:rsidRDefault="007B3E2B">
      <w:pPr>
        <w:spacing w:after="0" w:line="240" w:lineRule="auto"/>
        <w:jc w:val="right"/>
        <w:rPr>
          <w:rFonts w:ascii="Times New Roman" w:hAnsi="Times New Roman" w:cs="Times New Roman"/>
          <w:b/>
          <w:sz w:val="24"/>
          <w:szCs w:val="24"/>
        </w:rPr>
      </w:pPr>
    </w:p>
    <w:p w:rsidR="007B3E2B" w:rsidRDefault="007B3E2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«ЗАТВЕРДЖЕНО» / </w:t>
      </w:r>
      <w:r>
        <w:rPr>
          <w:rFonts w:ascii="Times New Roman" w:hAnsi="Times New Roman" w:cs="Times New Roman"/>
          <w:b/>
          <w:sz w:val="24"/>
          <w:szCs w:val="24"/>
        </w:rPr>
        <w:t>«ПОГОДЖЕНО»</w:t>
      </w:r>
    </w:p>
    <w:p w:rsidR="007B3E2B" w:rsidRDefault="007B3E2B" w:rsidP="00410E34">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Уповноважена особа</w:t>
      </w:r>
    </w:p>
    <w:p w:rsidR="007B3E2B" w:rsidRPr="004A3257" w:rsidRDefault="007B3E2B" w:rsidP="00410E34">
      <w:pPr>
        <w:spacing w:after="0" w:line="240"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Тернопільської</w:t>
      </w:r>
      <w:r w:rsidRPr="004A3257">
        <w:rPr>
          <w:rFonts w:ascii="Times New Roman" w:hAnsi="Times New Roman" w:cs="Times New Roman"/>
          <w:i/>
          <w:color w:val="000000"/>
          <w:sz w:val="24"/>
          <w:szCs w:val="24"/>
        </w:rPr>
        <w:t xml:space="preserve"> митниці</w:t>
      </w:r>
    </w:p>
    <w:p w:rsidR="007B3E2B" w:rsidRDefault="007B3E2B" w:rsidP="00410E3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Юрій НАЙЧУК</w:t>
      </w:r>
    </w:p>
    <w:p w:rsidR="007B3E2B" w:rsidRDefault="007B3E2B" w:rsidP="00410E34">
      <w:pPr>
        <w:spacing w:after="0" w:line="24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                                                           </w:t>
      </w:r>
      <w:r w:rsidRPr="00205D77">
        <w:rPr>
          <w:rFonts w:ascii="Times New Roman" w:hAnsi="Times New Roman" w:cs="Times New Roman"/>
          <w:b/>
          <w:color w:val="000000"/>
          <w:sz w:val="24"/>
          <w:szCs w:val="24"/>
        </w:rPr>
        <w:t>15.11.2023</w:t>
      </w:r>
    </w:p>
    <w:p w:rsidR="007B3E2B" w:rsidRDefault="007B3E2B">
      <w:pPr>
        <w:spacing w:after="0" w:line="240" w:lineRule="auto"/>
        <w:jc w:val="right"/>
        <w:rPr>
          <w:rFonts w:ascii="Times New Roman" w:hAnsi="Times New Roman" w:cs="Times New Roman"/>
          <w:sz w:val="24"/>
          <w:szCs w:val="24"/>
        </w:rPr>
      </w:pPr>
    </w:p>
    <w:p w:rsidR="007B3E2B" w:rsidRDefault="007B3E2B">
      <w:pPr>
        <w:spacing w:after="0" w:line="240" w:lineRule="auto"/>
        <w:jc w:val="right"/>
        <w:rPr>
          <w:rFonts w:ascii="Times New Roman" w:hAnsi="Times New Roman" w:cs="Times New Roman"/>
          <w:b/>
          <w:sz w:val="24"/>
          <w:szCs w:val="24"/>
        </w:rPr>
      </w:pPr>
    </w:p>
    <w:p w:rsidR="007B3E2B" w:rsidRDefault="007B3E2B">
      <w:pPr>
        <w:spacing w:after="0" w:line="240" w:lineRule="auto"/>
        <w:jc w:val="center"/>
        <w:rPr>
          <w:rFonts w:ascii="Times New Roman" w:hAnsi="Times New Roman" w:cs="Times New Roman"/>
          <w:b/>
          <w:color w:val="000000"/>
          <w:sz w:val="24"/>
          <w:szCs w:val="24"/>
        </w:rPr>
      </w:pPr>
    </w:p>
    <w:p w:rsidR="007B3E2B" w:rsidRDefault="007B3E2B">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ОБҐРУНТУВАННЯ ПІДСТАВИ</w:t>
      </w:r>
    </w:p>
    <w:p w:rsidR="007B3E2B" w:rsidRDefault="007B3E2B">
      <w:pPr>
        <w:spacing w:after="0" w:line="240" w:lineRule="auto"/>
        <w:jc w:val="center"/>
        <w:rPr>
          <w:rFonts w:ascii="Times New Roman" w:hAnsi="Times New Roman" w:cs="Times New Roman"/>
          <w:color w:val="000000"/>
        </w:rPr>
      </w:pPr>
      <w:r>
        <w:rPr>
          <w:rFonts w:ascii="Times New Roman" w:hAnsi="Times New Roman" w:cs="Times New Roman"/>
          <w:color w:val="000000"/>
        </w:rPr>
        <w:t>для здійснення закупівлі</w:t>
      </w:r>
      <w:r>
        <w:rPr>
          <w:rFonts w:ascii="Times New Roman" w:hAnsi="Times New Roman" w:cs="Times New Roman"/>
        </w:rPr>
        <w:t xml:space="preserve"> </w:t>
      </w:r>
      <w:r>
        <w:rPr>
          <w:rFonts w:ascii="Times New Roman" w:hAnsi="Times New Roman" w:cs="Times New Roman"/>
          <w:color w:val="000000"/>
        </w:rPr>
        <w:t>згідно з</w:t>
      </w:r>
      <w:r>
        <w:rPr>
          <w:rFonts w:ascii="Times New Roman" w:hAnsi="Times New Roman" w:cs="Times New Roman"/>
          <w:b/>
          <w:color w:val="000000"/>
        </w:rPr>
        <w:t xml:space="preserve"> підпунктом 5 пункту 13 Особливостей</w:t>
      </w:r>
      <w:r>
        <w:rPr>
          <w:rFonts w:ascii="Times New Roman" w:hAnsi="Times New Roman" w:cs="Times New Roman"/>
          <w:color w:val="000000"/>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від 12.10.2022 № 1178 (далі — Особливості)</w:t>
      </w:r>
    </w:p>
    <w:p w:rsidR="007B3E2B" w:rsidRDefault="007B3E2B">
      <w:pPr>
        <w:spacing w:after="0" w:line="240" w:lineRule="auto"/>
        <w:jc w:val="center"/>
        <w:rPr>
          <w:rFonts w:ascii="Times New Roman" w:hAnsi="Times New Roman" w:cs="Times New Roman"/>
          <w:sz w:val="24"/>
          <w:szCs w:val="24"/>
        </w:rPr>
      </w:pPr>
    </w:p>
    <w:p w:rsidR="007B3E2B" w:rsidRDefault="007B3E2B" w:rsidP="00410E3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7B3E2B" w:rsidRDefault="007B3E2B" w:rsidP="00410E34">
      <w:pPr>
        <w:spacing w:after="0" w:line="240" w:lineRule="auto"/>
        <w:jc w:val="both"/>
        <w:rPr>
          <w:rFonts w:ascii="Times New Roman" w:hAnsi="Times New Roman" w:cs="Times New Roman"/>
          <w:b/>
          <w:sz w:val="20"/>
          <w:szCs w:val="20"/>
        </w:rPr>
      </w:pPr>
    </w:p>
    <w:p w:rsidR="007B3E2B" w:rsidRPr="00410E34" w:rsidRDefault="007B3E2B" w:rsidP="00410E34">
      <w:pPr>
        <w:spacing w:after="0" w:line="240" w:lineRule="auto"/>
        <w:jc w:val="both"/>
        <w:rPr>
          <w:rFonts w:ascii="Times New Roman" w:hAnsi="Times New Roman" w:cs="Times New Roman"/>
          <w:i/>
          <w:color w:val="000000"/>
          <w:sz w:val="20"/>
          <w:szCs w:val="20"/>
        </w:rPr>
      </w:pPr>
      <w:r>
        <w:rPr>
          <w:rFonts w:ascii="Times New Roman" w:hAnsi="Times New Roman" w:cs="Times New Roman"/>
          <w:sz w:val="20"/>
          <w:szCs w:val="20"/>
        </w:rPr>
        <w:t>Тернопільська</w:t>
      </w:r>
      <w:r w:rsidRPr="004A3257">
        <w:rPr>
          <w:rFonts w:ascii="Times New Roman" w:hAnsi="Times New Roman" w:cs="Times New Roman"/>
          <w:sz w:val="20"/>
          <w:szCs w:val="20"/>
        </w:rPr>
        <w:t xml:space="preserve"> митниця, </w:t>
      </w:r>
      <w:smartTag w:uri="urn:schemas-microsoft-com:office:smarttags" w:element="metricconverter">
        <w:smartTagPr>
          <w:attr w:name="ProductID" w:val="46004, м"/>
        </w:smartTagPr>
        <w:r>
          <w:rPr>
            <w:rFonts w:ascii="Times New Roman" w:hAnsi="Times New Roman" w:cs="Times New Roman"/>
            <w:sz w:val="20"/>
            <w:szCs w:val="20"/>
          </w:rPr>
          <w:t>46004</w:t>
        </w:r>
        <w:r w:rsidRPr="004A3257">
          <w:rPr>
            <w:rFonts w:ascii="Times New Roman" w:hAnsi="Times New Roman" w:cs="Times New Roman"/>
            <w:sz w:val="20"/>
            <w:szCs w:val="20"/>
          </w:rPr>
          <w:t>, м</w:t>
        </w:r>
      </w:smartTag>
      <w:r w:rsidRPr="004A3257">
        <w:rPr>
          <w:rFonts w:ascii="Times New Roman" w:hAnsi="Times New Roman" w:cs="Times New Roman"/>
          <w:sz w:val="20"/>
          <w:szCs w:val="20"/>
        </w:rPr>
        <w:t xml:space="preserve">. </w:t>
      </w:r>
      <w:r>
        <w:rPr>
          <w:rFonts w:ascii="Times New Roman" w:hAnsi="Times New Roman" w:cs="Times New Roman"/>
          <w:sz w:val="20"/>
          <w:szCs w:val="20"/>
        </w:rPr>
        <w:t>Тернопіль</w:t>
      </w:r>
      <w:r w:rsidRPr="004A3257">
        <w:rPr>
          <w:rFonts w:ascii="Times New Roman" w:hAnsi="Times New Roman" w:cs="Times New Roman"/>
          <w:sz w:val="20"/>
          <w:szCs w:val="20"/>
        </w:rPr>
        <w:t xml:space="preserve">, </w:t>
      </w:r>
      <w:r>
        <w:rPr>
          <w:rFonts w:ascii="Times New Roman" w:hAnsi="Times New Roman" w:cs="Times New Roman"/>
          <w:sz w:val="20"/>
          <w:szCs w:val="20"/>
        </w:rPr>
        <w:t xml:space="preserve">вул. Текстильна , 38, код ЄДРПОУ </w:t>
      </w:r>
      <w:r>
        <w:rPr>
          <w:rStyle w:val="definitionstext"/>
          <w:rFonts w:ascii="Times New Roman" w:hAnsi="Times New Roman"/>
          <w:sz w:val="20"/>
          <w:szCs w:val="20"/>
        </w:rPr>
        <w:t xml:space="preserve">43985576, </w:t>
      </w:r>
      <w:r w:rsidRPr="008B5B6D">
        <w:rPr>
          <w:rStyle w:val="definitionstext"/>
          <w:rFonts w:ascii="Times New Roman" w:hAnsi="Times New Roman"/>
          <w:sz w:val="20"/>
          <w:szCs w:val="20"/>
        </w:rPr>
        <w:t>Орган державної влади, місцевого самоврядування або правоохоронний орган</w:t>
      </w:r>
      <w:r>
        <w:rPr>
          <w:rFonts w:ascii="Times New Roman" w:hAnsi="Times New Roman" w:cs="Times New Roman"/>
          <w:b/>
          <w:sz w:val="20"/>
          <w:szCs w:val="20"/>
        </w:rPr>
        <w:t>.</w:t>
      </w:r>
    </w:p>
    <w:p w:rsidR="007B3E2B" w:rsidRDefault="007B3E2B">
      <w:pPr>
        <w:spacing w:before="280" w:after="280" w:line="240" w:lineRule="auto"/>
        <w:jc w:val="both"/>
        <w:rPr>
          <w:rFonts w:ascii="Times New Roman" w:hAnsi="Times New Roman" w:cs="Times New Roman"/>
          <w:sz w:val="20"/>
          <w:szCs w:val="20"/>
        </w:rPr>
      </w:pPr>
      <w:r>
        <w:rPr>
          <w:rFonts w:ascii="Times New Roman" w:hAnsi="Times New Roman" w:cs="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cs="Times New Roman"/>
          <w:sz w:val="20"/>
          <w:szCs w:val="20"/>
        </w:rPr>
        <w:t xml:space="preserve"> </w:t>
      </w:r>
    </w:p>
    <w:p w:rsidR="007B3E2B" w:rsidRPr="006E1F63" w:rsidRDefault="007B3E2B">
      <w:pPr>
        <w:spacing w:before="280" w:after="280" w:line="240" w:lineRule="auto"/>
        <w:jc w:val="both"/>
        <w:rPr>
          <w:rFonts w:ascii="Times New Roman" w:hAnsi="Times New Roman" w:cs="Times New Roman"/>
          <w:b/>
          <w:sz w:val="20"/>
          <w:szCs w:val="20"/>
        </w:rPr>
      </w:pPr>
      <w:r>
        <w:rPr>
          <w:rFonts w:ascii="Times New Roman" w:hAnsi="Times New Roman" w:cs="Times New Roman"/>
          <w:sz w:val="20"/>
          <w:szCs w:val="20"/>
        </w:rPr>
        <w:t xml:space="preserve">Розподіл електричної енергії, Код ДК: </w:t>
      </w:r>
      <w:r w:rsidRPr="006E1F63">
        <w:rPr>
          <w:rStyle w:val="key"/>
          <w:rFonts w:ascii="Times New Roman" w:hAnsi="Times New Roman"/>
          <w:sz w:val="20"/>
          <w:szCs w:val="20"/>
        </w:rPr>
        <w:t>021:2015:</w:t>
      </w:r>
      <w:r w:rsidRPr="006E1F63">
        <w:rPr>
          <w:rFonts w:ascii="Times New Roman" w:hAnsi="Times New Roman" w:cs="Times New Roman"/>
          <w:sz w:val="20"/>
          <w:szCs w:val="20"/>
        </w:rPr>
        <w:t xml:space="preserve"> </w:t>
      </w:r>
      <w:r>
        <w:rPr>
          <w:rFonts w:ascii="Times New Roman" w:hAnsi="Times New Roman" w:cs="Times New Roman"/>
          <w:sz w:val="20"/>
          <w:szCs w:val="20"/>
        </w:rPr>
        <w:t>6531</w:t>
      </w:r>
      <w:r w:rsidRPr="006E1F63">
        <w:rPr>
          <w:rStyle w:val="valignt"/>
          <w:rFonts w:ascii="Times New Roman" w:hAnsi="Times New Roman"/>
          <w:sz w:val="20"/>
          <w:szCs w:val="20"/>
        </w:rPr>
        <w:t>0000-</w:t>
      </w:r>
      <w:r>
        <w:rPr>
          <w:rStyle w:val="valignt"/>
          <w:rFonts w:ascii="Times New Roman" w:hAnsi="Times New Roman"/>
          <w:sz w:val="20"/>
          <w:szCs w:val="20"/>
        </w:rPr>
        <w:t>9</w:t>
      </w:r>
      <w:r w:rsidRPr="006E1F63">
        <w:rPr>
          <w:rStyle w:val="valignt"/>
          <w:rFonts w:ascii="Times New Roman" w:hAnsi="Times New Roman"/>
          <w:sz w:val="20"/>
          <w:szCs w:val="20"/>
        </w:rPr>
        <w:t xml:space="preserve"> </w:t>
      </w:r>
      <w:r>
        <w:rPr>
          <w:rStyle w:val="valignt"/>
          <w:rFonts w:ascii="Times New Roman" w:hAnsi="Times New Roman"/>
          <w:sz w:val="20"/>
          <w:szCs w:val="20"/>
        </w:rPr>
        <w:t>Розподіл електричної енергії</w:t>
      </w:r>
    </w:p>
    <w:p w:rsidR="007B3E2B" w:rsidRDefault="007B3E2B">
      <w:pPr>
        <w:spacing w:before="280" w:after="280" w:line="240" w:lineRule="auto"/>
        <w:jc w:val="both"/>
        <w:rPr>
          <w:rFonts w:ascii="Times New Roman" w:hAnsi="Times New Roman" w:cs="Times New Roman"/>
          <w:sz w:val="20"/>
          <w:szCs w:val="20"/>
        </w:rPr>
      </w:pPr>
      <w:r>
        <w:rPr>
          <w:rFonts w:ascii="Times New Roman" w:hAnsi="Times New Roman" w:cs="Times New Roman"/>
          <w:b/>
          <w:sz w:val="20"/>
          <w:szCs w:val="20"/>
        </w:rPr>
        <w:t>Вид та ідентифікатор процедури закупівлі (у разі наявності):</w:t>
      </w:r>
      <w:r>
        <w:rPr>
          <w:rFonts w:ascii="Times New Roman" w:hAnsi="Times New Roman" w:cs="Times New Roman"/>
          <w:sz w:val="20"/>
          <w:szCs w:val="20"/>
        </w:rPr>
        <w:t xml:space="preserve"> закупівля послуг.</w:t>
      </w:r>
    </w:p>
    <w:p w:rsidR="007B3E2B" w:rsidRDefault="007B3E2B">
      <w:pPr>
        <w:spacing w:before="280" w:after="280" w:line="240" w:lineRule="auto"/>
        <w:jc w:val="both"/>
        <w:rPr>
          <w:rFonts w:ascii="Times New Roman" w:hAnsi="Times New Roman" w:cs="Times New Roman"/>
          <w:sz w:val="20"/>
          <w:szCs w:val="20"/>
        </w:rPr>
      </w:pPr>
      <w:r>
        <w:rPr>
          <w:rFonts w:ascii="Times New Roman" w:hAnsi="Times New Roman" w:cs="Times New Roman"/>
          <w:b/>
          <w:sz w:val="20"/>
          <w:szCs w:val="20"/>
        </w:rPr>
        <w:t>Розмір бюджетного призначення:</w:t>
      </w:r>
      <w:r>
        <w:rPr>
          <w:rFonts w:ascii="Times New Roman" w:hAnsi="Times New Roman" w:cs="Times New Roman"/>
          <w:sz w:val="20"/>
          <w:szCs w:val="20"/>
        </w:rPr>
        <w:t xml:space="preserve"> 23 863,64 згідно з кошторисом на 2023 рік.</w:t>
      </w:r>
    </w:p>
    <w:p w:rsidR="007B3E2B" w:rsidRDefault="007B3E2B" w:rsidP="00F32875">
      <w:pPr>
        <w:spacing w:after="0" w:line="240" w:lineRule="auto"/>
        <w:jc w:val="both"/>
        <w:rPr>
          <w:rFonts w:ascii="Times New Roman" w:hAnsi="Times New Roman" w:cs="Times New Roman"/>
          <w:i/>
          <w:sz w:val="18"/>
          <w:szCs w:val="18"/>
        </w:rPr>
      </w:pPr>
      <w:r>
        <w:rPr>
          <w:rFonts w:ascii="Times New Roman" w:hAnsi="Times New Roman" w:cs="Times New Roman"/>
          <w:b/>
          <w:color w:val="000000"/>
          <w:sz w:val="20"/>
          <w:szCs w:val="20"/>
        </w:rPr>
        <w:t>Підстави для здійснення закупівлі:</w:t>
      </w:r>
      <w:r>
        <w:rPr>
          <w:rFonts w:ascii="Times New Roman" w:hAnsi="Times New Roman" w:cs="Times New Roman"/>
          <w:b/>
          <w:sz w:val="20"/>
          <w:szCs w:val="20"/>
        </w:rPr>
        <w:t xml:space="preserve"> </w:t>
      </w:r>
      <w:r>
        <w:rPr>
          <w:rFonts w:ascii="Times New Roman" w:hAnsi="Times New Roman" w:cs="Times New Roman"/>
          <w:i/>
          <w:sz w:val="18"/>
          <w:szCs w:val="18"/>
          <w:highlight w:val="white"/>
        </w:rPr>
        <w:t>відповідно до підпункту 5 пункту 13 Особливостей</w:t>
      </w:r>
      <w:r w:rsidRPr="00F32875">
        <w:rPr>
          <w:rFonts w:ascii="Times New Roman" w:hAnsi="Times New Roman" w:cs="Times New Roman"/>
          <w:i/>
          <w:sz w:val="18"/>
          <w:szCs w:val="18"/>
        </w:rPr>
        <w:t xml:space="preserve">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7B3E2B" w:rsidRPr="00D84E30" w:rsidRDefault="007B3E2B" w:rsidP="00F3287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7B3E2B" w:rsidRDefault="007B3E2B">
      <w:pPr>
        <w:spacing w:after="0" w:line="240" w:lineRule="auto"/>
        <w:jc w:val="both"/>
        <w:rPr>
          <w:rFonts w:ascii="Times New Roman" w:hAnsi="Times New Roman" w:cs="Times New Roman"/>
          <w:i/>
          <w:sz w:val="20"/>
          <w:szCs w:val="20"/>
        </w:rPr>
      </w:pPr>
    </w:p>
    <w:p w:rsidR="007B3E2B" w:rsidRDefault="007B3E2B">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Обґрунтування підстави для здійснення:</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7B3E2B" w:rsidRDefault="007B3E2B">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Указом Президента України від 24.02.2022 № 64 (зі змінами) термін дії воєнного стану встановлено до 15.11.2023.</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Статтею 4 Указу № 64 Кабінету Міністрів України постановлено невідкладно:</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забезпечити фінансування та вжити в межах повноважень інших заходів, пов</w:t>
      </w:r>
      <w:r>
        <w:rPr>
          <w:rFonts w:ascii="Times New Roman" w:hAnsi="Times New Roman" w:cs="Times New Roman"/>
          <w:sz w:val="20"/>
          <w:szCs w:val="20"/>
        </w:rPr>
        <w:t>’</w:t>
      </w:r>
      <w:r>
        <w:rPr>
          <w:rFonts w:ascii="Times New Roman" w:hAnsi="Times New Roman" w:cs="Times New Roman"/>
          <w:color w:val="000000"/>
          <w:sz w:val="20"/>
          <w:szCs w:val="20"/>
        </w:rPr>
        <w:t>язаних із запровадженням правового режиму воєнного стану на території України.</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Стаття 12</w:t>
      </w: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1) працює відповідно до Регламенту Кабінету Міністрів України в умовах воєнного стану;</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Згідно з с</w:t>
      </w:r>
      <w:r>
        <w:rPr>
          <w:rFonts w:ascii="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7B3E2B" w:rsidRDefault="007B3E2B">
      <w:pPr>
        <w:shd w:val="clear" w:color="auto" w:fill="FFFFFF"/>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w:t>
      </w:r>
      <w:r>
        <w:rPr>
          <w:rFonts w:ascii="Times New Roman" w:hAnsi="Times New Roman" w:cs="Times New Roman"/>
          <w:sz w:val="20"/>
          <w:szCs w:val="20"/>
        </w:rPr>
        <w:t>3</w:t>
      </w:r>
      <w:r>
        <w:rPr>
          <w:rFonts w:ascii="Times New Roman" w:hAnsi="Times New Roman" w:cs="Times New Roman"/>
          <w:sz w:val="20"/>
          <w:szCs w:val="20"/>
          <w:vertAlign w:val="superscript"/>
        </w:rPr>
        <w:t>7</w:t>
      </w:r>
      <w:r>
        <w:rPr>
          <w:rFonts w:ascii="Times New Roman" w:hAnsi="Times New Roman" w:cs="Times New Roman"/>
          <w:color w:val="000000"/>
          <w:sz w:val="20"/>
          <w:szCs w:val="20"/>
        </w:rPr>
        <w:t xml:space="preserve"> розділу Х </w:t>
      </w:r>
      <w:r>
        <w:rPr>
          <w:rFonts w:ascii="Times New Roman" w:hAnsi="Times New Roman" w:cs="Times New Roman"/>
          <w:sz w:val="20"/>
          <w:szCs w:val="20"/>
        </w:rPr>
        <w:t xml:space="preserve">«Прикінцеві та перехідні положення» </w:t>
      </w:r>
      <w:r>
        <w:rPr>
          <w:rFonts w:ascii="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5" w:anchor="n16">
        <w:r>
          <w:rPr>
            <w:rFonts w:ascii="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rsidR="007B3E2B" w:rsidRDefault="007B3E2B">
      <w:pPr>
        <w:shd w:val="clear" w:color="auto" w:fill="FFFFFF"/>
        <w:spacing w:after="0" w:line="240" w:lineRule="auto"/>
        <w:ind w:firstLine="709"/>
        <w:jc w:val="both"/>
        <w:rPr>
          <w:rFonts w:ascii="Times New Roman" w:hAnsi="Times New Roman" w:cs="Times New Roman"/>
          <w:b/>
          <w:i/>
          <w:color w:val="000000"/>
          <w:sz w:val="20"/>
          <w:szCs w:val="20"/>
        </w:rPr>
      </w:pPr>
      <w:r>
        <w:rPr>
          <w:rFonts w:ascii="Times New Roman" w:hAnsi="Times New Roman" w:cs="Times New Roman"/>
          <w:color w:val="000000"/>
          <w:sz w:val="20"/>
          <w:szCs w:val="20"/>
        </w:rPr>
        <w:t xml:space="preserve">На виконання </w:t>
      </w:r>
      <w:r>
        <w:rPr>
          <w:rFonts w:ascii="Times New Roman" w:hAnsi="Times New Roman" w:cs="Times New Roman"/>
          <w:sz w:val="20"/>
          <w:szCs w:val="20"/>
        </w:rPr>
        <w:t>ціє</w:t>
      </w:r>
      <w:r>
        <w:rPr>
          <w:rFonts w:ascii="Times New Roman" w:hAnsi="Times New Roman" w:cs="Times New Roman"/>
          <w:color w:val="000000"/>
          <w:sz w:val="20"/>
          <w:szCs w:val="20"/>
        </w:rPr>
        <w:t>ї норми Закону урядом бул</w:t>
      </w:r>
      <w:r>
        <w:rPr>
          <w:rFonts w:ascii="Times New Roman" w:hAnsi="Times New Roman" w:cs="Times New Roman"/>
          <w:sz w:val="20"/>
          <w:szCs w:val="20"/>
        </w:rPr>
        <w:t>и</w:t>
      </w:r>
      <w:r>
        <w:rPr>
          <w:rFonts w:ascii="Times New Roman" w:hAnsi="Times New Roman" w:cs="Times New Roman"/>
          <w:color w:val="000000"/>
          <w:sz w:val="20"/>
          <w:szCs w:val="20"/>
        </w:rPr>
        <w:t xml:space="preserve"> прийнят</w:t>
      </w:r>
      <w:r>
        <w:rPr>
          <w:rFonts w:ascii="Times New Roman" w:hAnsi="Times New Roman" w:cs="Times New Roman"/>
          <w:sz w:val="20"/>
          <w:szCs w:val="20"/>
        </w:rPr>
        <w:t>і</w:t>
      </w:r>
      <w:r>
        <w:rPr>
          <w:rFonts w:ascii="Times New Roman" w:hAnsi="Times New Roman" w:cs="Times New Roman"/>
          <w:color w:val="000000"/>
          <w:sz w:val="20"/>
          <w:szCs w:val="20"/>
        </w:rPr>
        <w:t xml:space="preserve"> </w:t>
      </w:r>
      <w:r>
        <w:rPr>
          <w:rFonts w:ascii="Times New Roman" w:hAnsi="Times New Roman" w:cs="Times New Roman"/>
          <w:b/>
          <w:i/>
          <w:sz w:val="20"/>
          <w:szCs w:val="20"/>
        </w:rPr>
        <w:t>Особливості</w:t>
      </w:r>
      <w:r>
        <w:rPr>
          <w:rFonts w:ascii="Times New Roman" w:hAnsi="Times New Roman" w:cs="Times New Roman"/>
          <w:b/>
          <w:i/>
          <w:color w:val="000000"/>
          <w:sz w:val="20"/>
          <w:szCs w:val="20"/>
        </w:rPr>
        <w:t>.</w:t>
      </w:r>
    </w:p>
    <w:p w:rsidR="007B3E2B" w:rsidRDefault="007B3E2B" w:rsidP="00F32875">
      <w:pPr>
        <w:spacing w:after="0" w:line="240" w:lineRule="auto"/>
        <w:jc w:val="both"/>
        <w:rPr>
          <w:rFonts w:ascii="Times New Roman" w:hAnsi="Times New Roman" w:cs="Times New Roman"/>
          <w:i/>
          <w:sz w:val="18"/>
          <w:szCs w:val="18"/>
        </w:rPr>
      </w:pPr>
      <w:r>
        <w:rPr>
          <w:rFonts w:ascii="Times New Roman" w:hAnsi="Times New Roman" w:cs="Times New Roman"/>
          <w:sz w:val="20"/>
          <w:szCs w:val="20"/>
        </w:rPr>
        <w:t xml:space="preserve">Положеннями </w:t>
      </w:r>
      <w:r>
        <w:rPr>
          <w:rFonts w:ascii="Times New Roman" w:hAnsi="Times New Roman" w:cs="Times New Roman"/>
          <w:b/>
          <w:i/>
          <w:sz w:val="20"/>
          <w:szCs w:val="20"/>
        </w:rPr>
        <w:t>Особливостей</w:t>
      </w:r>
      <w:r>
        <w:rPr>
          <w:rFonts w:ascii="Times New Roman" w:hAnsi="Times New Roman" w:cs="Times New Roman"/>
          <w:sz w:val="20"/>
          <w:szCs w:val="20"/>
        </w:rPr>
        <w:t xml:space="preserve"> передбачено</w:t>
      </w:r>
      <w:r>
        <w:rPr>
          <w:rFonts w:ascii="Times New Roman" w:hAnsi="Times New Roman" w:cs="Times New Roman"/>
          <w:sz w:val="20"/>
          <w:szCs w:val="20"/>
          <w:highlight w:val="white"/>
        </w:rPr>
        <w:t xml:space="preserve"> </w:t>
      </w:r>
      <w:r>
        <w:rPr>
          <w:rFonts w:ascii="Times New Roman" w:hAnsi="Times New Roman" w:cs="Times New Roman"/>
          <w:color w:val="000000"/>
          <w:sz w:val="20"/>
          <w:szCs w:val="20"/>
          <w:highlight w:val="white"/>
        </w:rPr>
        <w:t>підставу</w:t>
      </w:r>
      <w:r>
        <w:rPr>
          <w:rFonts w:ascii="Times New Roman" w:hAnsi="Times New Roman" w:cs="Times New Roman"/>
          <w:b/>
          <w:color w:val="000000"/>
          <w:sz w:val="20"/>
          <w:szCs w:val="20"/>
          <w:highlight w:val="white"/>
        </w:rPr>
        <w:t xml:space="preserve"> </w:t>
      </w:r>
      <w:r>
        <w:rPr>
          <w:rFonts w:ascii="Times New Roman" w:hAnsi="Times New Roman" w:cs="Times New Roman"/>
          <w:color w:val="000000"/>
          <w:sz w:val="20"/>
          <w:szCs w:val="20"/>
          <w:highlight w:val="white"/>
        </w:rPr>
        <w:t xml:space="preserve">для здійснення закупівлі за </w:t>
      </w:r>
      <w:r>
        <w:rPr>
          <w:rFonts w:ascii="Times New Roman" w:hAnsi="Times New Roman" w:cs="Times New Roman"/>
          <w:b/>
          <w:color w:val="000000"/>
          <w:sz w:val="20"/>
          <w:szCs w:val="20"/>
          <w:highlight w:val="white"/>
        </w:rPr>
        <w:t>підпунктом 5 пункту 13:</w:t>
      </w:r>
      <w:r>
        <w:rPr>
          <w:rFonts w:ascii="Times New Roman" w:hAnsi="Times New Roman" w:cs="Times New Roman"/>
          <w:sz w:val="20"/>
          <w:szCs w:val="20"/>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7B3E2B" w:rsidRDefault="007B3E2B" w:rsidP="00F32875">
      <w:pPr>
        <w:shd w:val="clear" w:color="auto" w:fill="FFFFFF"/>
        <w:spacing w:after="0" w:line="240" w:lineRule="auto"/>
        <w:ind w:firstLine="709"/>
        <w:jc w:val="both"/>
        <w:rPr>
          <w:rFonts w:ascii="Times New Roman" w:hAnsi="Times New Roman" w:cs="Times New Roman"/>
          <w:i/>
          <w:sz w:val="18"/>
          <w:szCs w:val="18"/>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p>
    <w:p w:rsidR="007B3E2B" w:rsidRDefault="007B3E2B" w:rsidP="00F32875">
      <w:pPr>
        <w:shd w:val="clear" w:color="auto" w:fill="FFFFFF"/>
        <w:spacing w:after="0" w:line="240" w:lineRule="auto"/>
        <w:ind w:firstLine="709"/>
        <w:jc w:val="both"/>
        <w:rPr>
          <w:rFonts w:ascii="Times New Roman" w:hAnsi="Times New Roman" w:cs="Times New Roman"/>
          <w:i/>
          <w:sz w:val="18"/>
          <w:szCs w:val="18"/>
        </w:rPr>
      </w:pPr>
    </w:p>
    <w:p w:rsidR="007B3E2B" w:rsidRDefault="007B3E2B" w:rsidP="00F32875">
      <w:pPr>
        <w:shd w:val="clear" w:color="auto" w:fill="FFFFFF"/>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b/>
          <w:sz w:val="20"/>
          <w:szCs w:val="20"/>
        </w:rPr>
        <w:t>Обсяг закупівлі 10 500</w:t>
      </w:r>
      <w:r w:rsidRPr="00410E34">
        <w:rPr>
          <w:rFonts w:ascii="Times New Roman" w:hAnsi="Times New Roman" w:cs="Times New Roman"/>
          <w:b/>
          <w:sz w:val="20"/>
          <w:szCs w:val="20"/>
        </w:rPr>
        <w:t xml:space="preserve"> </w:t>
      </w:r>
      <w:r>
        <w:rPr>
          <w:rFonts w:ascii="Times New Roman" w:hAnsi="Times New Roman" w:cs="Times New Roman"/>
          <w:b/>
          <w:sz w:val="20"/>
          <w:szCs w:val="20"/>
        </w:rPr>
        <w:t>кВт.год.</w:t>
      </w:r>
      <w:r>
        <w:rPr>
          <w:rFonts w:ascii="Times New Roman" w:hAnsi="Times New Roman" w:cs="Times New Roman"/>
          <w:sz w:val="20"/>
          <w:szCs w:val="20"/>
        </w:rPr>
        <w:t xml:space="preserve"> </w:t>
      </w:r>
      <w:r w:rsidRPr="00F8484E">
        <w:rPr>
          <w:rFonts w:ascii="Times New Roman" w:hAnsi="Times New Roman" w:cs="Times New Roman"/>
          <w:b/>
          <w:sz w:val="20"/>
          <w:szCs w:val="20"/>
        </w:rPr>
        <w:t>з урахуванням потреби замовника на 2023 рік</w:t>
      </w:r>
      <w:r>
        <w:rPr>
          <w:rFonts w:ascii="Times New Roman" w:hAnsi="Times New Roman" w:cs="Times New Roman"/>
          <w:color w:val="000000"/>
          <w:sz w:val="20"/>
          <w:szCs w:val="20"/>
        </w:rPr>
        <w:t xml:space="preserve"> </w:t>
      </w:r>
      <w:r w:rsidRPr="00A655F1">
        <w:rPr>
          <w:rFonts w:ascii="Times New Roman" w:hAnsi="Times New Roman" w:cs="Times New Roman"/>
          <w:b/>
          <w:color w:val="000000"/>
          <w:sz w:val="20"/>
          <w:szCs w:val="20"/>
        </w:rPr>
        <w:t>(листопад – грудень).</w:t>
      </w:r>
    </w:p>
    <w:p w:rsidR="007B3E2B" w:rsidRDefault="007B3E2B" w:rsidP="00F32875">
      <w:pPr>
        <w:shd w:val="clear" w:color="auto" w:fill="FFFFFF"/>
        <w:spacing w:after="0" w:line="240" w:lineRule="auto"/>
        <w:ind w:firstLine="709"/>
        <w:jc w:val="both"/>
        <w:rPr>
          <w:rFonts w:ascii="Times New Roman" w:hAnsi="Times New Roman" w:cs="Times New Roman"/>
          <w:b/>
          <w:color w:val="000000"/>
          <w:sz w:val="20"/>
          <w:szCs w:val="20"/>
        </w:rPr>
      </w:pPr>
    </w:p>
    <w:p w:rsidR="007B3E2B" w:rsidRPr="005A207B" w:rsidRDefault="007B3E2B" w:rsidP="00B34913">
      <w:pPr>
        <w:spacing w:after="0" w:line="240" w:lineRule="auto"/>
        <w:ind w:firstLine="709"/>
        <w:jc w:val="both"/>
        <w:rPr>
          <w:rFonts w:ascii="Times New Roman" w:hAnsi="Times New Roman" w:cs="Times New Roman"/>
          <w:i/>
          <w:sz w:val="18"/>
          <w:szCs w:val="18"/>
        </w:rPr>
      </w:pPr>
      <w:r>
        <w:rPr>
          <w:rFonts w:ascii="Times New Roman" w:hAnsi="Times New Roman" w:cs="Times New Roman"/>
          <w:i/>
          <w:sz w:val="18"/>
          <w:szCs w:val="18"/>
        </w:rPr>
        <w:t>В</w:t>
      </w:r>
      <w:r w:rsidRPr="005A207B">
        <w:rPr>
          <w:rFonts w:ascii="Times New Roman" w:hAnsi="Times New Roman" w:cs="Times New Roman"/>
          <w:i/>
          <w:sz w:val="18"/>
          <w:szCs w:val="18"/>
        </w:rPr>
        <w:t>ідповідно до Закону України 13.04.2017 № 2019-VIII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 xml:space="preserve">Правові, економічні та організаційні засади державного регулювання діяльності суб’єктів природний монополій в Україні визначає Закон України «Про природні монополії» від 20.04.2000 № 1682-ІІІ (із змінами). </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 xml:space="preserve">Зокрема Законом «Про природні монополії» регулюється діяльності суб’єктів природний монополій у такій сфері як розподіл електричної енергії (передача електричної енергії місцевими (локальними) електромережами (частина 1 ст. 5 Закону). </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 xml:space="preserve">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 -комунального господарства, що формується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(частина 2 ст. 5 Закону «Про природні монополії»). </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Діяльність суб’єктів природних монополій у сферах, визначених у статті 5 цього Закону, а також діяльність суб’єктів господарювання на суміжних ринках підлягає ліцензуванню відповідно до закону (ст. 7 Закону «Про природні монополії»).</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Ліцензування господарської діяльності у сфері електроенергетики належать до повноважень Національної комісії, що здійснює державне регулювання у сферах енергетики та комунальних послуг (далі – НКРЕКП) (ст. 6 Закону України «Про ринок електричної енергії»).</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Відповідно до Ліцензійних умов провадження господарської діяльності з розподілу електричної енергії (постанова НКРЕКП від 27.12.2017 № 1470) місце провадження господарської діяльності – територія адміністративно-територіальної одиниці, в межах якої розташовані система розподілу електричної енергії, що перебуває у власності, господарському віданні (щодо державного або комунального майна) або в управлінні на підставі договору управління активами, укладеного з Національним агентством України з питань виявлення, розшуку та управління активами, одержаних від корупційних та інших злочинів, здобувача ліцензії (ліцензіата), та електричні мережі інших власників, які не здійснюють розподіл електричної енергії відповідно до закону та приєднані безпосередньо або через електричні мережі інших власників до системи розподілу електричної енергії здобувача ліцензії (ліцензіата), до якої (яких) приєднано не менше 50 000 споживачів (абонентів), а також територія, на якій розташовані електричні мережі інших власників (а також їх субспоживачів), приєднаних до мереж оператора системи передачі, які не здійснюють розподіл електричної енергії відповідно до закону (далі – власники електромереж) та з якими було укладено договір про постачання електричної енергії або договір про спільне використання технологічних електричних мереж до здійснення заходів з відокремлення.</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При цьому, територія провадження господарської діяльності з розподілу електричної енергії із зазначенням переліку адміністративно-територіальних одиниць затверджується постановою НКРЕКП про видачу відповідної ліцензії по кожному постачальнику. Враховуючи вищезазначене, на кожній окремій території діє лише один розподільник, з яким споживачі (у тому числі бюджетні установи та організації) можуть укласти договір на розподіл електричної енергії.</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Операторами  системи розподілу, які можуть надавати послуги з розподілу електричної енергії на території діяльності Тернопільської митниці</w:t>
      </w:r>
      <w:r>
        <w:rPr>
          <w:rFonts w:ascii="Times New Roman" w:hAnsi="Times New Roman" w:cs="Times New Roman"/>
          <w:i/>
          <w:sz w:val="18"/>
          <w:szCs w:val="18"/>
        </w:rPr>
        <w:t xml:space="preserve"> (м. Тернопіль)</w:t>
      </w:r>
      <w:r w:rsidRPr="005A207B">
        <w:rPr>
          <w:rFonts w:ascii="Times New Roman" w:hAnsi="Times New Roman" w:cs="Times New Roman"/>
          <w:i/>
          <w:sz w:val="18"/>
          <w:szCs w:val="18"/>
        </w:rPr>
        <w:t>, відповідно до інформації, що розміщена на сайті Антимонопольного комітету України (www.amc.gov.ua) в перелік суб’єктів природних монополій включено:</w:t>
      </w:r>
    </w:p>
    <w:p w:rsidR="007B3E2B" w:rsidRPr="005A207B" w:rsidRDefault="007B3E2B" w:rsidP="00B34913">
      <w:pPr>
        <w:spacing w:after="0" w:line="240" w:lineRule="auto"/>
        <w:ind w:firstLine="709"/>
        <w:jc w:val="both"/>
        <w:rPr>
          <w:rFonts w:ascii="Times New Roman" w:hAnsi="Times New Roman" w:cs="Times New Roman"/>
          <w:i/>
          <w:sz w:val="18"/>
          <w:szCs w:val="18"/>
        </w:rPr>
      </w:pPr>
      <w:r w:rsidRPr="005A207B">
        <w:rPr>
          <w:rFonts w:ascii="Times New Roman" w:hAnsi="Times New Roman" w:cs="Times New Roman"/>
          <w:i/>
          <w:sz w:val="18"/>
          <w:szCs w:val="18"/>
        </w:rPr>
        <w:t>Відкрите акціонерне товариство ,,Тернопільобленерго” (код ЄДРПОУ 00130725), що здійснює провадження господарської діяльності з розподілу електричної енергії, у межах місць провадження господарської діяльності, а саме на території Тернопільської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ВІДКРИТОГО АКЦІОНЕРНОГО ТОВАРИСТВА «ТЕРНОПІЛЬОБЛЕНЕРГО», та електричних мереж інших власників, які приєднані до мереж ліцензіата (з якими укладені відповідні договори згідно із законодавством), на основі ліцензії видної згідно постанови НКРЕКП від 20.11.2018 № 1468.</w:t>
      </w:r>
    </w:p>
    <w:p w:rsidR="007B3E2B" w:rsidRDefault="007B3E2B">
      <w:pPr>
        <w:shd w:val="clear" w:color="auto" w:fill="FFFFFF"/>
        <w:spacing w:after="0" w:line="240" w:lineRule="auto"/>
        <w:ind w:firstLine="709"/>
        <w:jc w:val="both"/>
        <w:rPr>
          <w:rFonts w:ascii="Times New Roman" w:hAnsi="Times New Roman" w:cs="Times New Roman"/>
          <w:sz w:val="20"/>
          <w:szCs w:val="20"/>
        </w:rPr>
      </w:pPr>
      <w:bookmarkStart w:id="0" w:name="_heading=h.30j0zll" w:colFirst="0" w:colLast="0"/>
      <w:bookmarkEnd w:id="0"/>
      <w:r>
        <w:rPr>
          <w:rFonts w:ascii="Times New Roman" w:hAnsi="Times New Roman" w:cs="Times New Roman"/>
          <w:sz w:val="20"/>
          <w:szCs w:val="20"/>
        </w:rPr>
        <w:t xml:space="preserve">При цьому у Замовника існує  потреба в </w:t>
      </w:r>
      <w:r>
        <w:rPr>
          <w:rFonts w:ascii="Times New Roman" w:hAnsi="Times New Roman" w:cs="Times New Roman"/>
          <w:b/>
          <w:i/>
          <w:sz w:val="20"/>
          <w:szCs w:val="20"/>
        </w:rPr>
        <w:t>Закупівлі</w:t>
      </w:r>
      <w:r>
        <w:rPr>
          <w:rFonts w:ascii="Times New Roman" w:hAnsi="Times New Roman" w:cs="Times New Roman"/>
          <w:sz w:val="20"/>
          <w:szCs w:val="20"/>
        </w:rPr>
        <w:t>.</w:t>
      </w:r>
    </w:p>
    <w:p w:rsidR="007B3E2B" w:rsidRDefault="007B3E2B">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sz w:val="20"/>
          <w:szCs w:val="20"/>
        </w:rPr>
        <w:t>Водночас</w:t>
      </w:r>
      <w:r>
        <w:rPr>
          <w:rFonts w:ascii="Times New Roman" w:hAnsi="Times New Roman" w:cs="Times New Roman"/>
          <w:color w:val="000000"/>
          <w:sz w:val="20"/>
          <w:szCs w:val="20"/>
        </w:rPr>
        <w:t>, як передбачено чинним законодавством,</w:t>
      </w:r>
      <w:bookmarkStart w:id="1" w:name="bookmark=id.gjdgxs" w:colFirst="0" w:colLast="0"/>
      <w:bookmarkEnd w:id="1"/>
      <w:r>
        <w:rPr>
          <w:rFonts w:ascii="Times New Roman" w:hAnsi="Times New Roman" w:cs="Times New Roman"/>
          <w:color w:val="000000"/>
          <w:sz w:val="20"/>
          <w:szCs w:val="20"/>
        </w:rPr>
        <w:t xml:space="preserve"> під час здійснення закупівель замовники повинні дотримуватися принципів здійснення публічних закупівель</w:t>
      </w:r>
      <w:r>
        <w:rPr>
          <w:rFonts w:ascii="Times New Roman" w:hAnsi="Times New Roman" w:cs="Times New Roman"/>
          <w:sz w:val="20"/>
          <w:szCs w:val="20"/>
        </w:rPr>
        <w:t>.</w:t>
      </w:r>
    </w:p>
    <w:p w:rsidR="007B3E2B" w:rsidRDefault="007B3E2B" w:rsidP="00A655F1">
      <w:pPr>
        <w:spacing w:after="0" w:line="240" w:lineRule="auto"/>
        <w:jc w:val="both"/>
        <w:rPr>
          <w:rFonts w:ascii="Times New Roman" w:hAnsi="Times New Roman" w:cs="Times New Roman"/>
          <w:i/>
          <w:sz w:val="18"/>
          <w:szCs w:val="18"/>
        </w:rPr>
      </w:pPr>
      <w:r>
        <w:rPr>
          <w:rFonts w:ascii="Times New Roman" w:hAnsi="Times New Roman" w:cs="Times New Roman"/>
          <w:sz w:val="20"/>
          <w:szCs w:val="20"/>
        </w:rPr>
        <w:t>Отже</w:t>
      </w:r>
      <w:r>
        <w:rPr>
          <w:rFonts w:ascii="Times New Roman" w:hAnsi="Times New Roman" w:cs="Times New Roman"/>
          <w:color w:val="000000"/>
          <w:sz w:val="20"/>
          <w:szCs w:val="20"/>
        </w:rPr>
        <w:t xml:space="preserve">, враховуючи зазначене, з метою дотримання принципу ефективності закупівлі, якнайшвидшого забезпечення наявної потреби Замовника в умовах воєнного стану </w:t>
      </w:r>
      <w:r>
        <w:rPr>
          <w:rFonts w:ascii="Times New Roman" w:hAnsi="Times New Roman" w:cs="Times New Roman"/>
          <w:sz w:val="20"/>
          <w:szCs w:val="20"/>
        </w:rPr>
        <w:t>З</w:t>
      </w:r>
      <w:r>
        <w:rPr>
          <w:rFonts w:ascii="Times New Roman" w:hAnsi="Times New Roman" w:cs="Times New Roman"/>
          <w:color w:val="000000"/>
          <w:sz w:val="20"/>
          <w:szCs w:val="20"/>
        </w:rPr>
        <w:t xml:space="preserve">амовник прийняв рішення щодо здійснення </w:t>
      </w:r>
      <w:r>
        <w:rPr>
          <w:rFonts w:ascii="Times New Roman" w:hAnsi="Times New Roman" w:cs="Times New Roman"/>
          <w:b/>
          <w:i/>
          <w:color w:val="000000"/>
          <w:sz w:val="20"/>
          <w:szCs w:val="20"/>
        </w:rPr>
        <w:t>Закупівлі</w:t>
      </w:r>
      <w:r>
        <w:rPr>
          <w:rFonts w:ascii="Times New Roman" w:hAnsi="Times New Roman" w:cs="Times New Roman"/>
          <w:color w:val="000000"/>
          <w:sz w:val="20"/>
          <w:szCs w:val="20"/>
        </w:rPr>
        <w:t xml:space="preserve"> без застосування відкритих торгів та/або електронного каталогу для закупівлі товару та застосування під час здійснення </w:t>
      </w:r>
      <w:r>
        <w:rPr>
          <w:rFonts w:ascii="Times New Roman" w:hAnsi="Times New Roman" w:cs="Times New Roman"/>
          <w:b/>
          <w:i/>
          <w:color w:val="000000"/>
          <w:sz w:val="20"/>
          <w:szCs w:val="20"/>
        </w:rPr>
        <w:t xml:space="preserve">Закупівлі, </w:t>
      </w:r>
      <w:r>
        <w:rPr>
          <w:rFonts w:ascii="Times New Roman" w:hAnsi="Times New Roman" w:cs="Times New Roman"/>
          <w:color w:val="000000"/>
          <w:sz w:val="20"/>
          <w:szCs w:val="20"/>
          <w:highlight w:val="white"/>
        </w:rPr>
        <w:t>як виняток, п</w:t>
      </w:r>
      <w:r>
        <w:rPr>
          <w:rFonts w:ascii="Times New Roman" w:hAnsi="Times New Roman" w:cs="Times New Roman"/>
          <w:color w:val="000000"/>
          <w:sz w:val="20"/>
          <w:szCs w:val="20"/>
        </w:rPr>
        <w:t>ідстав</w:t>
      </w:r>
      <w:r>
        <w:rPr>
          <w:rFonts w:ascii="Times New Roman" w:hAnsi="Times New Roman" w:cs="Times New Roman"/>
          <w:sz w:val="20"/>
          <w:szCs w:val="20"/>
        </w:rPr>
        <w:t>и</w:t>
      </w:r>
      <w:r>
        <w:rPr>
          <w:rFonts w:ascii="Times New Roman" w:hAnsi="Times New Roman" w:cs="Times New Roman"/>
          <w:color w:val="000000"/>
          <w:sz w:val="20"/>
          <w:szCs w:val="20"/>
        </w:rPr>
        <w:t xml:space="preserve"> за</w:t>
      </w:r>
      <w:r>
        <w:rPr>
          <w:rFonts w:ascii="Times New Roman" w:hAnsi="Times New Roman" w:cs="Times New Roman"/>
          <w:b/>
          <w:color w:val="000000"/>
          <w:sz w:val="20"/>
          <w:szCs w:val="20"/>
        </w:rPr>
        <w:t xml:space="preserve"> підпунктом 5 пункту 13 </w:t>
      </w:r>
      <w:r>
        <w:rPr>
          <w:rFonts w:ascii="Times New Roman" w:hAnsi="Times New Roman" w:cs="Times New Roman"/>
          <w:b/>
          <w:i/>
          <w:color w:val="000000"/>
          <w:sz w:val="20"/>
          <w:szCs w:val="20"/>
        </w:rPr>
        <w:t>Особливостей</w:t>
      </w:r>
      <w:r>
        <w:rPr>
          <w:rFonts w:ascii="Times New Roman" w:hAnsi="Times New Roman" w:cs="Times New Roman"/>
          <w:color w:val="000000"/>
          <w:sz w:val="20"/>
          <w:szCs w:val="20"/>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Pr>
          <w:rFonts w:ascii="Times New Roman" w:hAnsi="Times New Roman" w:cs="Times New Roman"/>
          <w:b/>
          <w:color w:val="000000"/>
          <w:sz w:val="20"/>
          <w:szCs w:val="20"/>
        </w:rPr>
        <w:t xml:space="preserve"> </w:t>
      </w:r>
      <w:r>
        <w:rPr>
          <w:rFonts w:ascii="Times New Roman" w:hAnsi="Times New Roman" w:cs="Times New Roman"/>
          <w:i/>
          <w:sz w:val="18"/>
          <w:szCs w:val="18"/>
        </w:rPr>
        <w:t>роботи, товари чи послуги можуть бути виконані, поставлені чи надані виключно певним суб’єктом господарювання в одному з таких випадків:</w:t>
      </w:r>
    </w:p>
    <w:p w:rsidR="007B3E2B" w:rsidRDefault="007B3E2B">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i/>
          <w:sz w:val="18"/>
          <w:szCs w:val="18"/>
        </w:rPr>
        <w:t>в</w:t>
      </w:r>
      <w:r w:rsidRPr="00D84E30">
        <w:rPr>
          <w:rFonts w:ascii="Times New Roman" w:hAnsi="Times New Roman" w:cs="Times New Roman"/>
          <w:i/>
          <w:sz w:val="18"/>
          <w:szCs w:val="18"/>
        </w:rPr>
        <w:t>ідсутність конкуренції з технічних причин</w:t>
      </w:r>
      <w:r>
        <w:rPr>
          <w:rFonts w:ascii="Times New Roman" w:hAnsi="Times New Roman" w:cs="Times New Roman"/>
          <w:i/>
          <w:sz w:val="18"/>
          <w:szCs w:val="18"/>
        </w:rPr>
        <w:t>, яка повинна бути документально підтверджена замовником</w:t>
      </w:r>
      <w:r>
        <w:rPr>
          <w:rFonts w:ascii="Times New Roman" w:hAnsi="Times New Roman" w:cs="Times New Roman"/>
          <w:i/>
          <w:sz w:val="18"/>
          <w:szCs w:val="18"/>
          <w:highlight w:val="white"/>
        </w:rPr>
        <w:t>,</w:t>
      </w:r>
      <w:r>
        <w:rPr>
          <w:rFonts w:ascii="Times New Roman" w:hAnsi="Times New Roman" w:cs="Times New Roman"/>
          <w:i/>
          <w:sz w:val="18"/>
          <w:szCs w:val="18"/>
        </w:rPr>
        <w:t xml:space="preserve"> </w:t>
      </w:r>
      <w:r>
        <w:rPr>
          <w:rFonts w:ascii="Times New Roman" w:hAnsi="Times New Roman" w:cs="Times New Roman"/>
          <w:i/>
          <w:color w:val="000000"/>
          <w:sz w:val="20"/>
          <w:szCs w:val="20"/>
          <w:highlight w:val="white"/>
        </w:rPr>
        <w:t xml:space="preserve"> </w:t>
      </w:r>
      <w:r>
        <w:rPr>
          <w:rFonts w:ascii="Times New Roman" w:hAnsi="Times New Roman" w:cs="Times New Roman"/>
          <w:color w:val="000000"/>
          <w:sz w:val="20"/>
          <w:szCs w:val="20"/>
          <w:highlight w:val="white"/>
        </w:rPr>
        <w:t>і укладення договору.</w:t>
      </w:r>
    </w:p>
    <w:p w:rsidR="007B3E2B" w:rsidRDefault="007B3E2B">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 огляду на викладене, рішення щодо проведення закупівлі відповідає чинному законодавству.</w:t>
      </w:r>
    </w:p>
    <w:p w:rsidR="007B3E2B" w:rsidRDefault="007B3E2B">
      <w:pPr>
        <w:shd w:val="clear" w:color="auto" w:fill="FFFFFF"/>
        <w:spacing w:after="0" w:line="240" w:lineRule="auto"/>
        <w:ind w:firstLine="709"/>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Pr>
          <w:rFonts w:ascii="Times New Roman" w:hAnsi="Times New Roman" w:cs="Times New Roman"/>
          <w:sz w:val="20"/>
          <w:szCs w:val="20"/>
          <w:highlight w:val="white"/>
          <w:vertAlign w:val="superscript"/>
        </w:rPr>
        <w:t>8</w:t>
      </w:r>
      <w:r>
        <w:rPr>
          <w:rFonts w:ascii="Times New Roman" w:hAnsi="Times New Roman" w:cs="Times New Roman"/>
          <w:sz w:val="20"/>
          <w:szCs w:val="20"/>
          <w:highlight w:val="white"/>
        </w:rPr>
        <w:t xml:space="preserve"> розділу Х «Прикінцеві та перехідні положення» Закону.</w:t>
      </w:r>
    </w:p>
    <w:p w:rsidR="007B3E2B" w:rsidRDefault="007B3E2B">
      <w:pPr>
        <w:spacing w:after="0" w:line="240" w:lineRule="auto"/>
        <w:ind w:firstLine="709"/>
        <w:jc w:val="both"/>
        <w:rPr>
          <w:rFonts w:ascii="Times New Roman" w:hAnsi="Times New Roman" w:cs="Times New Roman"/>
          <w:strike/>
          <w:color w:val="000000"/>
          <w:sz w:val="20"/>
          <w:szCs w:val="20"/>
          <w:highlight w:val="white"/>
        </w:rPr>
      </w:pPr>
      <w:r>
        <w:rPr>
          <w:rFonts w:ascii="Times New Roman" w:hAnsi="Times New Roman" w:cs="Times New Roman"/>
          <w:color w:val="000000"/>
          <w:sz w:val="20"/>
          <w:szCs w:val="20"/>
        </w:rPr>
        <w:t xml:space="preserve">Разом із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w:t>
      </w:r>
      <w:r>
        <w:rPr>
          <w:rFonts w:ascii="Times New Roman" w:hAnsi="Times New Roman" w:cs="Times New Roman"/>
          <w:b/>
          <w:color w:val="000000"/>
          <w:sz w:val="20"/>
          <w:szCs w:val="20"/>
        </w:rPr>
        <w:t>пункту 13 Особливостей</w:t>
      </w:r>
      <w:r>
        <w:rPr>
          <w:rFonts w:ascii="Times New Roman" w:hAnsi="Times New Roman" w:cs="Times New Roman"/>
          <w:color w:val="000000"/>
          <w:sz w:val="20"/>
          <w:szCs w:val="20"/>
        </w:rPr>
        <w:t xml:space="preserve"> </w:t>
      </w:r>
      <w:r w:rsidRPr="00383046">
        <w:rPr>
          <w:rFonts w:ascii="Times New Roman" w:hAnsi="Times New Roman" w:cs="Times New Roman"/>
          <w:sz w:val="20"/>
          <w:szCs w:val="20"/>
        </w:rPr>
        <w:t>у вигляді цього файлу «Обґрунтування підстави»</w:t>
      </w:r>
      <w:r>
        <w:rPr>
          <w:rFonts w:ascii="Times New Roman" w:hAnsi="Times New Roman" w:cs="Times New Roman"/>
          <w:color w:val="000000"/>
          <w:sz w:val="20"/>
          <w:szCs w:val="20"/>
        </w:rPr>
        <w:t>.</w:t>
      </w:r>
    </w:p>
    <w:p w:rsidR="007B3E2B" w:rsidRDefault="007B3E2B">
      <w:pPr>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7B3E2B" w:rsidRDefault="007B3E2B">
      <w:pPr>
        <w:spacing w:after="0" w:line="240" w:lineRule="auto"/>
        <w:ind w:firstLine="709"/>
        <w:jc w:val="both"/>
        <w:rPr>
          <w:rFonts w:ascii="Times New Roman" w:hAnsi="Times New Roman" w:cs="Times New Roman"/>
          <w:b/>
          <w:color w:val="000000"/>
          <w:sz w:val="20"/>
          <w:szCs w:val="20"/>
        </w:rPr>
      </w:pPr>
    </w:p>
    <w:p w:rsidR="007B3E2B" w:rsidRDefault="007B3E2B">
      <w:pPr>
        <w:spacing w:after="0" w:line="240" w:lineRule="auto"/>
        <w:ind w:firstLine="709"/>
        <w:jc w:val="both"/>
        <w:rPr>
          <w:rFonts w:ascii="Times New Roman" w:hAnsi="Times New Roman" w:cs="Times New Roman"/>
          <w:b/>
          <w:color w:val="000000"/>
          <w:sz w:val="20"/>
          <w:szCs w:val="20"/>
        </w:rPr>
      </w:pPr>
    </w:p>
    <w:p w:rsidR="007B3E2B" w:rsidRPr="0023357E" w:rsidRDefault="007B3E2B" w:rsidP="0023357E">
      <w:pPr>
        <w:pStyle w:val="ListParagraph"/>
        <w:numPr>
          <w:ilvl w:val="0"/>
          <w:numId w:val="1"/>
        </w:numPr>
        <w:spacing w:after="0" w:line="240" w:lineRule="auto"/>
        <w:ind w:left="284" w:hanging="284"/>
        <w:jc w:val="both"/>
        <w:rPr>
          <w:rFonts w:ascii="Times New Roman" w:hAnsi="Times New Roman" w:cs="Times New Roman"/>
          <w:i/>
          <w:sz w:val="20"/>
          <w:szCs w:val="20"/>
        </w:rPr>
      </w:pPr>
      <w:r>
        <w:rPr>
          <w:rFonts w:ascii="Times New Roman" w:hAnsi="Times New Roman" w:cs="Times New Roman"/>
          <w:i/>
          <w:sz w:val="20"/>
          <w:szCs w:val="20"/>
          <w:lang w:val="uk-UA"/>
        </w:rPr>
        <w:t>П</w:t>
      </w:r>
      <w:r w:rsidRPr="0023357E">
        <w:rPr>
          <w:rFonts w:ascii="Times New Roman" w:hAnsi="Times New Roman" w:cs="Times New Roman"/>
          <w:i/>
          <w:sz w:val="20"/>
          <w:szCs w:val="20"/>
        </w:rPr>
        <w:t>останова НКРЕКП від 20.11.2018 № 1468;</w:t>
      </w:r>
    </w:p>
    <w:p w:rsidR="007B3E2B" w:rsidRPr="0023357E" w:rsidRDefault="007B3E2B" w:rsidP="0023357E">
      <w:pPr>
        <w:pStyle w:val="ListParagraph"/>
        <w:numPr>
          <w:ilvl w:val="0"/>
          <w:numId w:val="1"/>
        </w:numPr>
        <w:spacing w:after="0" w:line="240" w:lineRule="auto"/>
        <w:ind w:left="284" w:hanging="284"/>
        <w:jc w:val="both"/>
        <w:rPr>
          <w:rFonts w:ascii="Times New Roman" w:hAnsi="Times New Roman" w:cs="Times New Roman"/>
          <w:i/>
          <w:sz w:val="20"/>
          <w:szCs w:val="20"/>
        </w:rPr>
      </w:pPr>
      <w:r>
        <w:rPr>
          <w:rFonts w:ascii="Times New Roman" w:hAnsi="Times New Roman" w:cs="Times New Roman"/>
          <w:i/>
          <w:sz w:val="20"/>
          <w:szCs w:val="20"/>
          <w:lang w:val="uk-UA"/>
        </w:rPr>
        <w:t>В</w:t>
      </w:r>
      <w:r w:rsidRPr="0023357E">
        <w:rPr>
          <w:rFonts w:ascii="Times New Roman" w:hAnsi="Times New Roman" w:cs="Times New Roman"/>
          <w:i/>
          <w:sz w:val="20"/>
          <w:szCs w:val="20"/>
        </w:rPr>
        <w:t>итяг з Зведеного переліку суб’єктів  природних монополій (30.09.2023).</w:t>
      </w:r>
    </w:p>
    <w:p w:rsidR="007B3E2B" w:rsidRPr="00352664" w:rsidRDefault="007B3E2B">
      <w:pPr>
        <w:shd w:val="clear" w:color="auto" w:fill="FFFFFF"/>
        <w:spacing w:after="0" w:line="240" w:lineRule="auto"/>
        <w:ind w:firstLine="709"/>
        <w:jc w:val="both"/>
        <w:rPr>
          <w:lang w:val="ru-RU"/>
        </w:rPr>
      </w:pPr>
    </w:p>
    <w:sectPr w:rsidR="007B3E2B" w:rsidRPr="00352664" w:rsidSect="007B7DC2">
      <w:pgSz w:w="11906" w:h="16838"/>
      <w:pgMar w:top="850" w:right="850" w:bottom="850" w:left="15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8452C"/>
    <w:multiLevelType w:val="hybridMultilevel"/>
    <w:tmpl w:val="F2D09D58"/>
    <w:lvl w:ilvl="0" w:tplc="8C10C0B2">
      <w:start w:val="1"/>
      <w:numFmt w:val="decimal"/>
      <w:lvlText w:val="%1."/>
      <w:lvlJc w:val="left"/>
      <w:pPr>
        <w:ind w:left="360" w:hanging="360"/>
      </w:pPr>
      <w:rPr>
        <w:rFonts w:cs="Times New Roman" w:hint="default"/>
        <w:b/>
        <w:sz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DC2"/>
    <w:rsid w:val="00034B52"/>
    <w:rsid w:val="000F1563"/>
    <w:rsid w:val="00132219"/>
    <w:rsid w:val="00161277"/>
    <w:rsid w:val="00205D77"/>
    <w:rsid w:val="0023357E"/>
    <w:rsid w:val="002A10B7"/>
    <w:rsid w:val="00352664"/>
    <w:rsid w:val="00366B90"/>
    <w:rsid w:val="00383046"/>
    <w:rsid w:val="00410E34"/>
    <w:rsid w:val="00412B4A"/>
    <w:rsid w:val="00412B8B"/>
    <w:rsid w:val="00443F9C"/>
    <w:rsid w:val="00451FF5"/>
    <w:rsid w:val="0046591D"/>
    <w:rsid w:val="004A3257"/>
    <w:rsid w:val="004F6572"/>
    <w:rsid w:val="00515CB7"/>
    <w:rsid w:val="005A207B"/>
    <w:rsid w:val="005A272F"/>
    <w:rsid w:val="005F3F28"/>
    <w:rsid w:val="006E1F63"/>
    <w:rsid w:val="006E27EF"/>
    <w:rsid w:val="00716199"/>
    <w:rsid w:val="00744AE6"/>
    <w:rsid w:val="007B3E2B"/>
    <w:rsid w:val="007B7DC2"/>
    <w:rsid w:val="007C0458"/>
    <w:rsid w:val="007E297F"/>
    <w:rsid w:val="00891EDC"/>
    <w:rsid w:val="008B5B6D"/>
    <w:rsid w:val="008E70A9"/>
    <w:rsid w:val="009D7185"/>
    <w:rsid w:val="009E00A9"/>
    <w:rsid w:val="00A27C28"/>
    <w:rsid w:val="00A655F1"/>
    <w:rsid w:val="00AE32ED"/>
    <w:rsid w:val="00AF20DE"/>
    <w:rsid w:val="00B34913"/>
    <w:rsid w:val="00B406D1"/>
    <w:rsid w:val="00B82F01"/>
    <w:rsid w:val="00B9258F"/>
    <w:rsid w:val="00BB69F9"/>
    <w:rsid w:val="00C54441"/>
    <w:rsid w:val="00CA4DDD"/>
    <w:rsid w:val="00CE200B"/>
    <w:rsid w:val="00D434CA"/>
    <w:rsid w:val="00D84E30"/>
    <w:rsid w:val="00E14AAE"/>
    <w:rsid w:val="00F32875"/>
    <w:rsid w:val="00F47FEB"/>
    <w:rsid w:val="00F8484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EF"/>
    <w:pPr>
      <w:spacing w:after="160" w:line="259" w:lineRule="auto"/>
    </w:pPr>
  </w:style>
  <w:style w:type="paragraph" w:styleId="Heading1">
    <w:name w:val="heading 1"/>
    <w:basedOn w:val="1"/>
    <w:next w:val="1"/>
    <w:link w:val="Heading1Char"/>
    <w:uiPriority w:val="99"/>
    <w:qFormat/>
    <w:rsid w:val="006E27EF"/>
    <w:pPr>
      <w:keepNext/>
      <w:keepLines/>
      <w:spacing w:before="480" w:after="120"/>
      <w:outlineLvl w:val="0"/>
    </w:pPr>
    <w:rPr>
      <w:b/>
      <w:sz w:val="48"/>
      <w:szCs w:val="48"/>
    </w:rPr>
  </w:style>
  <w:style w:type="paragraph" w:styleId="Heading2">
    <w:name w:val="heading 2"/>
    <w:basedOn w:val="1"/>
    <w:next w:val="1"/>
    <w:link w:val="Heading2Char"/>
    <w:uiPriority w:val="99"/>
    <w:qFormat/>
    <w:rsid w:val="006E27EF"/>
    <w:pPr>
      <w:keepNext/>
      <w:keepLines/>
      <w:spacing w:before="360" w:after="80"/>
      <w:outlineLvl w:val="1"/>
    </w:pPr>
    <w:rPr>
      <w:b/>
      <w:sz w:val="36"/>
      <w:szCs w:val="36"/>
    </w:rPr>
  </w:style>
  <w:style w:type="paragraph" w:styleId="Heading3">
    <w:name w:val="heading 3"/>
    <w:basedOn w:val="1"/>
    <w:next w:val="1"/>
    <w:link w:val="Heading3Char"/>
    <w:uiPriority w:val="99"/>
    <w:qFormat/>
    <w:rsid w:val="006E27EF"/>
    <w:pPr>
      <w:keepNext/>
      <w:keepLines/>
      <w:spacing w:before="280" w:after="80"/>
      <w:outlineLvl w:val="2"/>
    </w:pPr>
    <w:rPr>
      <w:b/>
      <w:sz w:val="28"/>
      <w:szCs w:val="28"/>
    </w:rPr>
  </w:style>
  <w:style w:type="paragraph" w:styleId="Heading4">
    <w:name w:val="heading 4"/>
    <w:basedOn w:val="1"/>
    <w:next w:val="1"/>
    <w:link w:val="Heading4Char"/>
    <w:uiPriority w:val="99"/>
    <w:qFormat/>
    <w:rsid w:val="006E27EF"/>
    <w:pPr>
      <w:keepNext/>
      <w:keepLines/>
      <w:spacing w:before="240" w:after="40"/>
      <w:outlineLvl w:val="3"/>
    </w:pPr>
    <w:rPr>
      <w:b/>
      <w:sz w:val="24"/>
      <w:szCs w:val="24"/>
    </w:rPr>
  </w:style>
  <w:style w:type="paragraph" w:styleId="Heading5">
    <w:name w:val="heading 5"/>
    <w:basedOn w:val="1"/>
    <w:next w:val="1"/>
    <w:link w:val="Heading5Char"/>
    <w:uiPriority w:val="99"/>
    <w:qFormat/>
    <w:rsid w:val="006E27EF"/>
    <w:pPr>
      <w:keepNext/>
      <w:keepLines/>
      <w:spacing w:before="220" w:after="40"/>
      <w:outlineLvl w:val="4"/>
    </w:pPr>
    <w:rPr>
      <w:b/>
    </w:rPr>
  </w:style>
  <w:style w:type="paragraph" w:styleId="Heading6">
    <w:name w:val="heading 6"/>
    <w:basedOn w:val="1"/>
    <w:next w:val="1"/>
    <w:link w:val="Heading6Char"/>
    <w:uiPriority w:val="99"/>
    <w:qFormat/>
    <w:rsid w:val="006E27E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0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1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A1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A1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A1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A10B7"/>
    <w:rPr>
      <w:rFonts w:ascii="Calibri" w:hAnsi="Calibri" w:cs="Times New Roman"/>
      <w:b/>
      <w:bCs/>
    </w:rPr>
  </w:style>
  <w:style w:type="paragraph" w:customStyle="1" w:styleId="normal0">
    <w:name w:val="normal"/>
    <w:uiPriority w:val="99"/>
    <w:rsid w:val="007B7DC2"/>
    <w:pPr>
      <w:spacing w:after="160" w:line="259" w:lineRule="auto"/>
    </w:pPr>
  </w:style>
  <w:style w:type="table" w:customStyle="1" w:styleId="TableNormal1">
    <w:name w:val="Table Normal1"/>
    <w:uiPriority w:val="99"/>
    <w:rsid w:val="007B7DC2"/>
    <w:pPr>
      <w:spacing w:after="160" w:line="259" w:lineRule="auto"/>
    </w:pPr>
    <w:tblPr>
      <w:tblCellMar>
        <w:top w:w="0" w:type="dxa"/>
        <w:left w:w="0" w:type="dxa"/>
        <w:bottom w:w="0" w:type="dxa"/>
        <w:right w:w="0" w:type="dxa"/>
      </w:tblCellMar>
    </w:tblPr>
  </w:style>
  <w:style w:type="paragraph" w:styleId="Title">
    <w:name w:val="Title"/>
    <w:basedOn w:val="1"/>
    <w:next w:val="1"/>
    <w:link w:val="TitleChar"/>
    <w:uiPriority w:val="99"/>
    <w:qFormat/>
    <w:rsid w:val="006E27EF"/>
    <w:pPr>
      <w:keepNext/>
      <w:keepLines/>
      <w:spacing w:before="480" w:after="120"/>
    </w:pPr>
    <w:rPr>
      <w:b/>
      <w:sz w:val="72"/>
      <w:szCs w:val="72"/>
    </w:rPr>
  </w:style>
  <w:style w:type="character" w:customStyle="1" w:styleId="TitleChar">
    <w:name w:val="Title Char"/>
    <w:basedOn w:val="DefaultParagraphFont"/>
    <w:link w:val="Title"/>
    <w:uiPriority w:val="99"/>
    <w:locked/>
    <w:rsid w:val="002A10B7"/>
    <w:rPr>
      <w:rFonts w:ascii="Cambria" w:hAnsi="Cambria" w:cs="Times New Roman"/>
      <w:b/>
      <w:bCs/>
      <w:kern w:val="28"/>
      <w:sz w:val="32"/>
      <w:szCs w:val="32"/>
    </w:rPr>
  </w:style>
  <w:style w:type="table" w:customStyle="1" w:styleId="TableNormal2">
    <w:name w:val="Table Normal2"/>
    <w:uiPriority w:val="99"/>
    <w:rsid w:val="007B7DC2"/>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7B7DC2"/>
    <w:pPr>
      <w:spacing w:after="160" w:line="259" w:lineRule="auto"/>
    </w:pPr>
    <w:tblPr>
      <w:tblCellMar>
        <w:top w:w="0" w:type="dxa"/>
        <w:left w:w="0" w:type="dxa"/>
        <w:bottom w:w="0" w:type="dxa"/>
        <w:right w:w="0" w:type="dxa"/>
      </w:tblCellMar>
    </w:tblPr>
  </w:style>
  <w:style w:type="paragraph" w:customStyle="1" w:styleId="1">
    <w:name w:val="Обычный1"/>
    <w:uiPriority w:val="99"/>
    <w:rsid w:val="006E27EF"/>
    <w:pPr>
      <w:spacing w:after="160" w:line="259" w:lineRule="auto"/>
    </w:pPr>
  </w:style>
  <w:style w:type="table" w:customStyle="1" w:styleId="TableNormal4">
    <w:name w:val="Table Normal4"/>
    <w:uiPriority w:val="99"/>
    <w:rsid w:val="006E27EF"/>
    <w:pPr>
      <w:spacing w:after="160" w:line="259" w:lineRule="auto"/>
    </w:pPr>
    <w:tblPr>
      <w:tblCellMar>
        <w:top w:w="0" w:type="dxa"/>
        <w:left w:w="0" w:type="dxa"/>
        <w:bottom w:w="0" w:type="dxa"/>
        <w:right w:w="0" w:type="dxa"/>
      </w:tblCellMar>
    </w:tblPr>
  </w:style>
  <w:style w:type="character" w:customStyle="1" w:styleId="rvts0">
    <w:name w:val="rvts0"/>
    <w:basedOn w:val="DefaultParagraphFont"/>
    <w:uiPriority w:val="99"/>
    <w:rsid w:val="006E27EF"/>
    <w:rPr>
      <w:rFonts w:cs="Times New Roman"/>
    </w:rPr>
  </w:style>
  <w:style w:type="character" w:styleId="Emphasis">
    <w:name w:val="Emphasis"/>
    <w:basedOn w:val="DefaultParagraphFont"/>
    <w:uiPriority w:val="99"/>
    <w:qFormat/>
    <w:rsid w:val="006E27EF"/>
    <w:rPr>
      <w:rFonts w:cs="Times New Roman"/>
      <w:i/>
    </w:rPr>
  </w:style>
  <w:style w:type="character" w:styleId="Strong">
    <w:name w:val="Strong"/>
    <w:basedOn w:val="DefaultParagraphFont"/>
    <w:uiPriority w:val="99"/>
    <w:qFormat/>
    <w:rsid w:val="006E27EF"/>
    <w:rPr>
      <w:rFonts w:cs="Times New Roman"/>
      <w:b/>
      <w:bCs/>
    </w:rPr>
  </w:style>
  <w:style w:type="paragraph" w:styleId="ListParagraph">
    <w:name w:val="List Paragraph"/>
    <w:basedOn w:val="Normal"/>
    <w:uiPriority w:val="99"/>
    <w:qFormat/>
    <w:rsid w:val="006E27EF"/>
    <w:pPr>
      <w:spacing w:after="200" w:line="276" w:lineRule="auto"/>
      <w:ind w:left="720"/>
      <w:contextualSpacing/>
    </w:pPr>
    <w:rPr>
      <w:lang w:val="ru-RU"/>
    </w:rPr>
  </w:style>
  <w:style w:type="paragraph" w:customStyle="1" w:styleId="rvps2">
    <w:name w:val="rvps2"/>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DefaultParagraphFont"/>
    <w:uiPriority w:val="99"/>
    <w:rsid w:val="006E27EF"/>
    <w:rPr>
      <w:rFonts w:cs="Times New Roman"/>
    </w:rPr>
  </w:style>
  <w:style w:type="paragraph" w:styleId="Subtitle">
    <w:name w:val="Subtitle"/>
    <w:basedOn w:val="normal0"/>
    <w:next w:val="normal0"/>
    <w:link w:val="SubtitleChar"/>
    <w:uiPriority w:val="99"/>
    <w:qFormat/>
    <w:rsid w:val="007B7DC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2A10B7"/>
    <w:rPr>
      <w:rFonts w:ascii="Cambria" w:hAnsi="Cambria" w:cs="Times New Roman"/>
      <w:sz w:val="24"/>
      <w:szCs w:val="24"/>
    </w:rPr>
  </w:style>
  <w:style w:type="character" w:customStyle="1" w:styleId="definitionstext">
    <w:name w:val="definitions__text"/>
    <w:basedOn w:val="DefaultParagraphFont"/>
    <w:uiPriority w:val="99"/>
    <w:rsid w:val="00410E34"/>
    <w:rPr>
      <w:rFonts w:cs="Times New Roman"/>
    </w:rPr>
  </w:style>
  <w:style w:type="character" w:customStyle="1" w:styleId="value">
    <w:name w:val="value"/>
    <w:basedOn w:val="DefaultParagraphFont"/>
    <w:uiPriority w:val="99"/>
    <w:rsid w:val="00410E34"/>
    <w:rPr>
      <w:rFonts w:cs="Times New Roman"/>
    </w:rPr>
  </w:style>
  <w:style w:type="character" w:styleId="Hyperlink">
    <w:name w:val="Hyperlink"/>
    <w:basedOn w:val="DefaultParagraphFont"/>
    <w:uiPriority w:val="99"/>
    <w:semiHidden/>
    <w:rsid w:val="00410E34"/>
    <w:rPr>
      <w:rFonts w:cs="Times New Roman"/>
      <w:color w:val="0000FF"/>
      <w:u w:val="single"/>
    </w:rPr>
  </w:style>
  <w:style w:type="character" w:customStyle="1" w:styleId="key">
    <w:name w:val="key"/>
    <w:basedOn w:val="DefaultParagraphFont"/>
    <w:uiPriority w:val="99"/>
    <w:rsid w:val="006E1F63"/>
    <w:rPr>
      <w:rFonts w:cs="Times New Roman"/>
    </w:rPr>
  </w:style>
  <w:style w:type="character" w:customStyle="1" w:styleId="valignt">
    <w:name w:val="valign(t)"/>
    <w:basedOn w:val="DefaultParagraphFont"/>
    <w:uiPriority w:val="99"/>
    <w:rsid w:val="006E1F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Pages>
  <Words>7641</Words>
  <Characters>4356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2023-11-15T08:38:00Z</cp:lastPrinted>
  <dcterms:created xsi:type="dcterms:W3CDTF">2023-10-02T13:22:00Z</dcterms:created>
  <dcterms:modified xsi:type="dcterms:W3CDTF">2023-11-15T08:38:00Z</dcterms:modified>
</cp:coreProperties>
</file>