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E4" w:rsidRDefault="005A67E4" w:rsidP="00920166">
      <w:pPr>
        <w:spacing w:after="0"/>
        <w:jc w:val="center"/>
        <w:rPr>
          <w:rFonts w:ascii="Times New Roman" w:hAnsi="Times New Roman" w:cs="Times New Roman"/>
          <w:b/>
          <w:color w:val="454545"/>
          <w:sz w:val="32"/>
          <w:szCs w:val="32"/>
        </w:rPr>
      </w:pPr>
      <w:r w:rsidRPr="005A67E4">
        <w:rPr>
          <w:rFonts w:ascii="Times New Roman" w:hAnsi="Times New Roman" w:cs="Times New Roman"/>
          <w:b/>
          <w:color w:val="454545"/>
          <w:sz w:val="32"/>
          <w:szCs w:val="32"/>
        </w:rPr>
        <w:t xml:space="preserve">Кам'янець-Подільська спеціальна школа </w:t>
      </w:r>
    </w:p>
    <w:p w:rsidR="00920166" w:rsidRPr="005A67E4" w:rsidRDefault="005A67E4" w:rsidP="00920166">
      <w:pPr>
        <w:spacing w:after="0"/>
        <w:jc w:val="center"/>
        <w:rPr>
          <w:rFonts w:ascii="Times New Roman" w:eastAsia="Times New Roman" w:hAnsi="Times New Roman" w:cs="Times New Roman"/>
          <w:b/>
          <w:sz w:val="32"/>
          <w:szCs w:val="32"/>
        </w:rPr>
      </w:pPr>
      <w:r w:rsidRPr="005A67E4">
        <w:rPr>
          <w:rFonts w:ascii="Times New Roman" w:hAnsi="Times New Roman" w:cs="Times New Roman"/>
          <w:b/>
          <w:color w:val="454545"/>
          <w:sz w:val="32"/>
          <w:szCs w:val="32"/>
        </w:rPr>
        <w:t>Хмельницької обласної ради</w:t>
      </w:r>
    </w:p>
    <w:p w:rsidR="00985EF9" w:rsidRDefault="00985EF9" w:rsidP="000970FE">
      <w:pPr>
        <w:spacing w:after="0"/>
        <w:ind w:firstLine="6237"/>
        <w:jc w:val="both"/>
        <w:rPr>
          <w:rFonts w:ascii="Times New Roman" w:eastAsia="Times New Roman" w:hAnsi="Times New Roman" w:cs="Times New Roman"/>
          <w:b/>
        </w:rPr>
      </w:pPr>
    </w:p>
    <w:p w:rsidR="00D947A4" w:rsidRDefault="00D947A4"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281EE8"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 xml:space="preserve"> № 20 </w:t>
      </w:r>
      <w:r w:rsidR="000970FE" w:rsidRPr="0059791B">
        <w:rPr>
          <w:rFonts w:ascii="Times New Roman" w:eastAsia="Times New Roman" w:hAnsi="Times New Roman" w:cs="Times New Roman"/>
        </w:rPr>
        <w:t xml:space="preserve">від </w:t>
      </w:r>
      <w:r w:rsidR="00053875">
        <w:rPr>
          <w:rFonts w:ascii="Times New Roman" w:eastAsia="Times New Roman" w:hAnsi="Times New Roman" w:cs="Times New Roman"/>
          <w:lang w:val="ru-RU"/>
        </w:rPr>
        <w:t>0</w:t>
      </w:r>
      <w:r w:rsidR="00822C78" w:rsidRPr="00281EE8">
        <w:rPr>
          <w:rFonts w:ascii="Times New Roman" w:eastAsia="Times New Roman" w:hAnsi="Times New Roman" w:cs="Times New Roman"/>
          <w:lang w:val="ru-RU"/>
        </w:rPr>
        <w:t>6</w:t>
      </w:r>
      <w:r w:rsidR="000970FE" w:rsidRPr="0059791B">
        <w:rPr>
          <w:rFonts w:ascii="Times New Roman" w:eastAsia="Times New Roman" w:hAnsi="Times New Roman" w:cs="Times New Roman"/>
        </w:rPr>
        <w:t xml:space="preserve"> </w:t>
      </w:r>
      <w:r w:rsidR="00053875">
        <w:rPr>
          <w:rFonts w:ascii="Times New Roman" w:eastAsia="Times New Roman" w:hAnsi="Times New Roman" w:cs="Times New Roman"/>
        </w:rPr>
        <w:t>черв</w:t>
      </w:r>
      <w:r w:rsidR="000970FE" w:rsidRPr="0059791B">
        <w:rPr>
          <w:rFonts w:ascii="Times New Roman" w:eastAsia="Times New Roman" w:hAnsi="Times New Roman" w:cs="Times New Roman"/>
        </w:rPr>
        <w:t>ня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966EE1" w:rsidRPr="00822C78" w:rsidRDefault="00822C78" w:rsidP="00822C78">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822C78">
        <w:rPr>
          <w:rFonts w:ascii="Times New Roman" w:eastAsia="Times New Roman" w:hAnsi="Times New Roman" w:cs="Times New Roman"/>
          <w:b/>
          <w:sz w:val="24"/>
        </w:rPr>
        <w:t>Путівки на санаторно-курортне лікування для здобувачів освіти Кам`янець-Подільської спеціальної школи Хмельницької обласної ради</w:t>
      </w:r>
    </w:p>
    <w:p w:rsidR="00966EE1"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(Код </w:t>
      </w:r>
      <w:r w:rsidR="00822C78" w:rsidRPr="00822C78">
        <w:rPr>
          <w:rFonts w:ascii="Times New Roman" w:eastAsia="Times New Roman" w:hAnsi="Times New Roman" w:cs="Times New Roman"/>
          <w:b/>
          <w:sz w:val="24"/>
        </w:rPr>
        <w:t>ДК 021:2015: 85110000-3 — Послуги лікувальних закладів та супутні послуги</w:t>
      </w:r>
      <w:r w:rsidRPr="000D5533">
        <w:rPr>
          <w:rFonts w:ascii="Times New Roman" w:eastAsia="Times New Roman" w:hAnsi="Times New Roman" w:cs="Times New Roman"/>
          <w:b/>
          <w:sz w:val="24"/>
        </w:rPr>
        <w:t>)</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5A67E4"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Кам’янець-Подільський</w:t>
      </w:r>
      <w:r w:rsidR="00985EF9">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5A67E4" w:rsidRDefault="005A67E4" w:rsidP="005A67E4">
            <w:pPr>
              <w:rPr>
                <w:rFonts w:ascii="Times New Roman" w:hAnsi="Times New Roman" w:cs="Times New Roman"/>
                <w:i/>
                <w:iCs/>
              </w:rPr>
            </w:pPr>
            <w:r w:rsidRPr="005A67E4">
              <w:rPr>
                <w:rFonts w:ascii="Times New Roman" w:hAnsi="Times New Roman" w:cs="Times New Roman"/>
                <w:i/>
              </w:rPr>
              <w:t>Кам'янець-Подільська спеціальна школа Хмельницької обласної ради</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5A67E4" w:rsidRDefault="005A67E4" w:rsidP="005A67E4">
            <w:pPr>
              <w:rPr>
                <w:rFonts w:ascii="Times New Roman" w:hAnsi="Times New Roman" w:cs="Times New Roman"/>
                <w:bCs/>
                <w:i/>
                <w:iCs/>
              </w:rPr>
            </w:pPr>
            <w:r w:rsidRPr="005A67E4">
              <w:rPr>
                <w:rFonts w:ascii="Times New Roman" w:hAnsi="Times New Roman" w:cs="Times New Roman"/>
                <w:i/>
              </w:rPr>
              <w:t>32300, Україна , Хмельницька обл., Кам'янець-Подільський, вул. Павла Скоропадського. 20</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85EF9" w:rsidRPr="005A67E4" w:rsidRDefault="005A67E4" w:rsidP="005A67E4">
            <w:pPr>
              <w:rPr>
                <w:rFonts w:ascii="Times New Roman" w:hAnsi="Times New Roman" w:cs="Times New Roman"/>
                <w:bCs/>
                <w:i/>
                <w:iCs/>
              </w:rPr>
            </w:pPr>
            <w:proofErr w:type="spellStart"/>
            <w:r w:rsidRPr="005A67E4">
              <w:rPr>
                <w:rFonts w:ascii="Times New Roman" w:hAnsi="Times New Roman" w:cs="Times New Roman"/>
                <w:i/>
              </w:rPr>
              <w:t>Водоп'ян</w:t>
            </w:r>
            <w:proofErr w:type="spellEnd"/>
            <w:r w:rsidRPr="005A67E4">
              <w:rPr>
                <w:rFonts w:ascii="Times New Roman" w:hAnsi="Times New Roman" w:cs="Times New Roman"/>
                <w:i/>
              </w:rPr>
              <w:t xml:space="preserve"> Леся Олександрівна</w:t>
            </w:r>
            <w:r w:rsidRPr="005A67E4">
              <w:rPr>
                <w:rFonts w:ascii="Times New Roman" w:hAnsi="Times New Roman" w:cs="Times New Roman"/>
                <w:i/>
              </w:rPr>
              <w:br/>
              <w:t>+380384974186</w:t>
            </w:r>
            <w:r w:rsidRPr="005A67E4">
              <w:rPr>
                <w:rFonts w:ascii="Times New Roman" w:hAnsi="Times New Roman" w:cs="Times New Roman"/>
                <w:i/>
              </w:rPr>
              <w:br/>
            </w:r>
            <w:hyperlink r:id="rId8" w:history="1">
              <w:r w:rsidRPr="005A67E4">
                <w:rPr>
                  <w:rStyle w:val="a6"/>
                  <w:rFonts w:ascii="Times New Roman" w:hAnsi="Times New Roman" w:cs="Times New Roman"/>
                  <w:i/>
                  <w:color w:val="auto"/>
                  <w:bdr w:val="none" w:sz="0" w:space="0" w:color="auto" w:frame="1"/>
                </w:rPr>
                <w:t>internat_kp@ukr.net</w:t>
              </w:r>
            </w:hyperlink>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D947A4" w:rsidRDefault="000970FE" w:rsidP="000970FE">
            <w:pPr>
              <w:rPr>
                <w:rFonts w:ascii="Times New Roman" w:hAnsi="Times New Roman" w:cs="Times New Roman"/>
              </w:rPr>
            </w:pPr>
            <w:r w:rsidRPr="00D947A4">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D947A4"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822C78" w:rsidRPr="00822C78" w:rsidRDefault="00822C78" w:rsidP="00822C78">
            <w:pPr>
              <w:jc w:val="both"/>
              <w:rPr>
                <w:rFonts w:ascii="Times New Roman" w:eastAsia="Times New Roman" w:hAnsi="Times New Roman" w:cs="Times New Roman"/>
                <w:i/>
              </w:rPr>
            </w:pPr>
            <w:r w:rsidRPr="00822C78">
              <w:rPr>
                <w:rFonts w:ascii="Times New Roman" w:eastAsia="Times New Roman" w:hAnsi="Times New Roman" w:cs="Times New Roman"/>
                <w:i/>
              </w:rPr>
              <w:t>Путівки на санаторно-курортне лікування для здобувачів освіти Кам`янець-Подільської спеціальної школи Хмельницької обласної ради</w:t>
            </w:r>
          </w:p>
          <w:p w:rsidR="000970FE" w:rsidRPr="00D947A4" w:rsidRDefault="00822C78" w:rsidP="00822C78">
            <w:pPr>
              <w:jc w:val="both"/>
              <w:rPr>
                <w:rFonts w:ascii="Times New Roman" w:eastAsia="Times New Roman" w:hAnsi="Times New Roman" w:cs="Times New Roman"/>
                <w:i/>
              </w:rPr>
            </w:pPr>
            <w:r w:rsidRPr="00822C78">
              <w:rPr>
                <w:rFonts w:ascii="Times New Roman" w:eastAsia="Times New Roman" w:hAnsi="Times New Roman" w:cs="Times New Roman"/>
                <w:i/>
              </w:rPr>
              <w:t>(Код ДК 021:2015: 85110000-3 — Послуги лікувальних закладів та супутні послуги)</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D947A4" w:rsidRDefault="000970FE"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Закупівля здійснюється щодо предмета закупівлі в цілому.</w:t>
            </w:r>
          </w:p>
          <w:p w:rsidR="000970FE" w:rsidRPr="00D947A4" w:rsidRDefault="000970FE" w:rsidP="00E36161">
            <w:pPr>
              <w:widowControl w:val="0"/>
              <w:ind w:right="120"/>
              <w:jc w:val="both"/>
              <w:rPr>
                <w:rFonts w:ascii="Times New Roman" w:eastAsia="Times New Roman" w:hAnsi="Times New Roman" w:cs="Times New Roman"/>
                <w:i/>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281EE8" w:rsidRDefault="00920166" w:rsidP="000970FE">
            <w:pPr>
              <w:widowControl w:val="0"/>
              <w:ind w:right="120"/>
              <w:jc w:val="both"/>
              <w:rPr>
                <w:rFonts w:ascii="Times New Roman" w:eastAsia="Times New Roman" w:hAnsi="Times New Roman" w:cs="Times New Roman"/>
                <w:b/>
              </w:rPr>
            </w:pPr>
            <w:r w:rsidRPr="00281EE8">
              <w:rPr>
                <w:rFonts w:ascii="Times New Roman" w:eastAsia="Times New Roman" w:hAnsi="Times New Roman" w:cs="Times New Roman"/>
                <w:b/>
              </w:rPr>
              <w:t xml:space="preserve">Обсяги: </w:t>
            </w:r>
            <w:r w:rsidR="00822C78" w:rsidRPr="00281EE8">
              <w:rPr>
                <w:rFonts w:ascii="Times New Roman" w:eastAsia="Times New Roman" w:hAnsi="Times New Roman" w:cs="Times New Roman"/>
                <w:b/>
              </w:rPr>
              <w:t>10</w:t>
            </w:r>
            <w:r w:rsidR="00985EF9" w:rsidRPr="00281EE8">
              <w:rPr>
                <w:rFonts w:ascii="Times New Roman" w:eastAsia="Times New Roman" w:hAnsi="Times New Roman" w:cs="Times New Roman"/>
                <w:b/>
              </w:rPr>
              <w:t xml:space="preserve"> путівок</w:t>
            </w:r>
          </w:p>
          <w:p w:rsidR="00985EF9" w:rsidRPr="00D947A4" w:rsidRDefault="00985EF9" w:rsidP="000970FE">
            <w:pPr>
              <w:widowControl w:val="0"/>
              <w:ind w:right="120"/>
              <w:jc w:val="both"/>
              <w:rPr>
                <w:rFonts w:ascii="Times New Roman" w:eastAsia="Times New Roman" w:hAnsi="Times New Roman" w:cs="Times New Roman"/>
              </w:rPr>
            </w:pPr>
          </w:p>
          <w:p w:rsidR="000970FE" w:rsidRPr="00D947A4" w:rsidRDefault="000970FE" w:rsidP="00920166">
            <w:pPr>
              <w:widowControl w:val="0"/>
              <w:ind w:right="120"/>
              <w:jc w:val="both"/>
              <w:rPr>
                <w:rFonts w:ascii="Times New Roman" w:eastAsia="Times New Roman" w:hAnsi="Times New Roman" w:cs="Times New Roman"/>
                <w:i/>
              </w:rPr>
            </w:pPr>
            <w:r w:rsidRPr="00D947A4">
              <w:rPr>
                <w:rFonts w:ascii="Times New Roman" w:eastAsia="Times New Roman" w:hAnsi="Times New Roman" w:cs="Times New Roman"/>
              </w:rPr>
              <w:t>Міс</w:t>
            </w:r>
            <w:r w:rsidR="00985EF9" w:rsidRPr="00D947A4">
              <w:rPr>
                <w:rFonts w:ascii="Times New Roman" w:eastAsia="Times New Roman" w:hAnsi="Times New Roman" w:cs="Times New Roman"/>
              </w:rPr>
              <w:t>це поставки: путівки надаються Замовнику за</w:t>
            </w:r>
            <w:r w:rsidR="00920166" w:rsidRPr="00D947A4">
              <w:rPr>
                <w:rFonts w:ascii="Times New Roman" w:eastAsia="Times New Roman" w:hAnsi="Times New Roman" w:cs="Times New Roman"/>
              </w:rPr>
              <w:t xml:space="preserve"> адресою його місцезнаходження</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985EF9"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r w:rsidR="00281EE8">
              <w:rPr>
                <w:rFonts w:ascii="Times New Roman" w:eastAsia="Times New Roman" w:hAnsi="Times New Roman" w:cs="Times New Roman"/>
              </w:rPr>
              <w:t xml:space="preserve"> </w:t>
            </w:r>
            <w:r w:rsidR="00C579EA">
              <w:rPr>
                <w:rFonts w:ascii="Times New Roman" w:eastAsia="Times New Roman" w:hAnsi="Times New Roman" w:cs="Times New Roman"/>
              </w:rPr>
              <w:t xml:space="preserve"> </w:t>
            </w:r>
            <w:r w:rsidR="00281EE8" w:rsidRPr="00FB1C72">
              <w:rPr>
                <w:rFonts w:ascii="Times New Roman" w:eastAsia="Times New Roman" w:hAnsi="Times New Roman" w:cs="Times New Roman"/>
                <w:b/>
                <w:sz w:val="24"/>
              </w:rPr>
              <w:t>санаторно-курортне лікування</w:t>
            </w:r>
            <w:bookmarkStart w:id="1" w:name="_GoBack"/>
            <w:bookmarkEnd w:id="1"/>
            <w:r w:rsidR="00281EE8" w:rsidRPr="00822C78">
              <w:rPr>
                <w:rFonts w:ascii="Times New Roman" w:eastAsia="Times New Roman" w:hAnsi="Times New Roman" w:cs="Times New Roman"/>
                <w:b/>
                <w:sz w:val="24"/>
              </w:rPr>
              <w:t xml:space="preserve"> </w:t>
            </w:r>
            <w:r w:rsidR="00C579EA">
              <w:rPr>
                <w:rFonts w:ascii="Times New Roman" w:eastAsia="Times New Roman" w:hAnsi="Times New Roman" w:cs="Times New Roman"/>
              </w:rPr>
              <w:t xml:space="preserve">дітей здійснюється </w:t>
            </w:r>
            <w:r w:rsidRPr="00985EF9">
              <w:rPr>
                <w:rFonts w:ascii="Times New Roman" w:eastAsia="Times New Roman" w:hAnsi="Times New Roman" w:cs="Times New Roman"/>
              </w:rPr>
              <w:t>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 xml:space="preserve">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59791B" w:rsidRDefault="00966EE1" w:rsidP="00966EE1">
            <w:pPr>
              <w:widowControl w:val="0"/>
              <w:rPr>
                <w:rFonts w:ascii="Times New Roman" w:eastAsia="Times New Roman" w:hAnsi="Times New Roman" w:cs="Times New Roman"/>
              </w:rPr>
            </w:pPr>
            <w:r w:rsidRPr="0059791B">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59791B" w:rsidRDefault="00966EE1" w:rsidP="00966EE1">
            <w:pPr>
              <w:widowControl w:val="0"/>
              <w:ind w:left="40" w:right="120" w:firstLine="423"/>
              <w:jc w:val="both"/>
              <w:rPr>
                <w:rFonts w:ascii="Times New Roman" w:eastAsia="Times New Roman" w:hAnsi="Times New Roman" w:cs="Times New Roman"/>
              </w:rPr>
            </w:pPr>
            <w:r w:rsidRPr="0059791B">
              <w:rPr>
                <w:rFonts w:ascii="Times New Roman" w:eastAsia="Times New Roman" w:hAnsi="Times New Roman" w:cs="Times New Roman"/>
              </w:rPr>
              <w:t xml:space="preserve">1.1. Кінцевий строк подання тендерних пропозицій — </w:t>
            </w:r>
            <w:r w:rsidR="00822C78">
              <w:rPr>
                <w:rFonts w:ascii="Times New Roman" w:eastAsia="Times New Roman" w:hAnsi="Times New Roman" w:cs="Times New Roman"/>
                <w:b/>
              </w:rPr>
              <w:t>14</w:t>
            </w:r>
            <w:r w:rsidR="00225A13" w:rsidRPr="0059791B">
              <w:rPr>
                <w:rFonts w:ascii="Times New Roman" w:eastAsia="Times New Roman" w:hAnsi="Times New Roman" w:cs="Times New Roman"/>
                <w:b/>
              </w:rPr>
              <w:t xml:space="preserve"> червня</w:t>
            </w:r>
            <w:r w:rsidRPr="0059791B">
              <w:rPr>
                <w:rFonts w:ascii="Times New Roman" w:eastAsia="Times New Roman" w:hAnsi="Times New Roman" w:cs="Times New Roman"/>
                <w:b/>
              </w:rPr>
              <w:t xml:space="preserve">  2023 року, 00:00 год.</w:t>
            </w:r>
            <w:r w:rsidRPr="0059791B">
              <w:rPr>
                <w:rFonts w:ascii="Times New Roman" w:eastAsia="Times New Roman" w:hAnsi="Times New Roman" w:cs="Times New Roman"/>
              </w:rPr>
              <w:t xml:space="preserve"> </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59791B"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59791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66EE1" w:rsidRPr="0059791B"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послуги/роботи, що він пропонує </w:t>
            </w:r>
            <w:r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 xml:space="preserve">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D304B3">
              <w:rPr>
                <w:rFonts w:ascii="Times New Roman" w:eastAsia="Times New Roman" w:hAnsi="Times New Roman" w:cs="Times New Roman"/>
              </w:rPr>
              <w:t>невиправлення</w:t>
            </w:r>
            <w:proofErr w:type="spellEnd"/>
            <w:r w:rsidRPr="00D304B3">
              <w:rPr>
                <w:rFonts w:ascii="Times New Roman" w:eastAsia="Times New Roman" w:hAnsi="Times New Roman" w:cs="Times New Roman"/>
              </w:rPr>
              <w:t xml:space="preserve"> учасниками виявлених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70FE">
              <w:rPr>
                <w:rFonts w:ascii="Times New Roman" w:eastAsia="Times New Roman" w:hAnsi="Times New Roman" w:cs="Times New Roman"/>
                <w:color w:val="000000"/>
              </w:rPr>
              <w:t>означатиме</w:t>
            </w:r>
            <w:proofErr w:type="spellEnd"/>
            <w:r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lastRenderedPageBreak/>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w:t>
            </w:r>
            <w:r w:rsidRPr="00E516C1">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C3" w:rsidRDefault="00DC4AC3">
      <w:pPr>
        <w:spacing w:after="0" w:line="240" w:lineRule="auto"/>
      </w:pPr>
      <w:r>
        <w:separator/>
      </w:r>
    </w:p>
  </w:endnote>
  <w:endnote w:type="continuationSeparator" w:id="0">
    <w:p w:rsidR="00DC4AC3" w:rsidRDefault="00DC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1C72">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C3" w:rsidRDefault="00DC4AC3">
      <w:pPr>
        <w:spacing w:after="0" w:line="240" w:lineRule="auto"/>
      </w:pPr>
      <w:r>
        <w:separator/>
      </w:r>
    </w:p>
  </w:footnote>
  <w:footnote w:type="continuationSeparator" w:id="0">
    <w:p w:rsidR="00DC4AC3" w:rsidRDefault="00DC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2D36"/>
    <w:rsid w:val="00053875"/>
    <w:rsid w:val="000970FE"/>
    <w:rsid w:val="00195BFE"/>
    <w:rsid w:val="001F5EC2"/>
    <w:rsid w:val="00205530"/>
    <w:rsid w:val="00225A13"/>
    <w:rsid w:val="00234DD2"/>
    <w:rsid w:val="002765C2"/>
    <w:rsid w:val="00281EE8"/>
    <w:rsid w:val="0030364C"/>
    <w:rsid w:val="00362972"/>
    <w:rsid w:val="0037329E"/>
    <w:rsid w:val="00382973"/>
    <w:rsid w:val="003E34A1"/>
    <w:rsid w:val="0048490B"/>
    <w:rsid w:val="004F65F8"/>
    <w:rsid w:val="0050232F"/>
    <w:rsid w:val="00512D3D"/>
    <w:rsid w:val="00520DE1"/>
    <w:rsid w:val="0052788D"/>
    <w:rsid w:val="0053121B"/>
    <w:rsid w:val="0059791B"/>
    <w:rsid w:val="005A67E4"/>
    <w:rsid w:val="005C68BE"/>
    <w:rsid w:val="005E1964"/>
    <w:rsid w:val="00822C78"/>
    <w:rsid w:val="008526AA"/>
    <w:rsid w:val="0086501F"/>
    <w:rsid w:val="008A6A7D"/>
    <w:rsid w:val="008B46D9"/>
    <w:rsid w:val="008C7737"/>
    <w:rsid w:val="008E4134"/>
    <w:rsid w:val="008E4E0F"/>
    <w:rsid w:val="00920166"/>
    <w:rsid w:val="009475A7"/>
    <w:rsid w:val="00966EE1"/>
    <w:rsid w:val="00985EF9"/>
    <w:rsid w:val="009E2929"/>
    <w:rsid w:val="00A200DB"/>
    <w:rsid w:val="00AE6C78"/>
    <w:rsid w:val="00B03E2B"/>
    <w:rsid w:val="00B15D5E"/>
    <w:rsid w:val="00B17043"/>
    <w:rsid w:val="00B24456"/>
    <w:rsid w:val="00B354F3"/>
    <w:rsid w:val="00B43487"/>
    <w:rsid w:val="00BA263B"/>
    <w:rsid w:val="00C4622F"/>
    <w:rsid w:val="00C5300D"/>
    <w:rsid w:val="00C579EA"/>
    <w:rsid w:val="00CE791A"/>
    <w:rsid w:val="00D304B3"/>
    <w:rsid w:val="00D947A4"/>
    <w:rsid w:val="00DC4AC3"/>
    <w:rsid w:val="00E36161"/>
    <w:rsid w:val="00E516C1"/>
    <w:rsid w:val="00E90A80"/>
    <w:rsid w:val="00E964FA"/>
    <w:rsid w:val="00F30DD8"/>
    <w:rsid w:val="00F34878"/>
    <w:rsid w:val="00F61C52"/>
    <w:rsid w:val="00F76211"/>
    <w:rsid w:val="00F8717E"/>
    <w:rsid w:val="00F95E0A"/>
    <w:rsid w:val="00FB1C72"/>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053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204459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_kp@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37180</Words>
  <Characters>21193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 Laduba</cp:lastModifiedBy>
  <cp:revision>46</cp:revision>
  <dcterms:created xsi:type="dcterms:W3CDTF">2020-04-14T07:28:00Z</dcterms:created>
  <dcterms:modified xsi:type="dcterms:W3CDTF">2023-06-06T09:19:00Z</dcterms:modified>
</cp:coreProperties>
</file>