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7ADB52" w14:textId="77777777" w:rsidR="00F96418" w:rsidRDefault="00000000">
      <w:pPr>
        <w:spacing w:after="0" w:line="240" w:lineRule="auto"/>
        <w:ind w:left="5952"/>
        <w:rPr>
          <w:rFonts w:ascii="Times New Roman" w:eastAsia="Times New Roman" w:hAnsi="Times New Roman" w:cs="Times New Roman"/>
          <w:sz w:val="24"/>
          <w:szCs w:val="24"/>
        </w:rPr>
      </w:pPr>
      <w:r>
        <w:rPr>
          <w:rFonts w:ascii="Times New Roman" w:eastAsia="Times New Roman" w:hAnsi="Times New Roman" w:cs="Times New Roman"/>
          <w:b/>
          <w:sz w:val="20"/>
          <w:szCs w:val="20"/>
        </w:rPr>
        <w:t>«</w:t>
      </w:r>
      <w:r>
        <w:rPr>
          <w:rFonts w:ascii="Times New Roman" w:eastAsia="Times New Roman" w:hAnsi="Times New Roman" w:cs="Times New Roman"/>
          <w:b/>
          <w:sz w:val="24"/>
          <w:szCs w:val="24"/>
        </w:rPr>
        <w:t>ЗАТВЕРДЖЕНО»</w:t>
      </w:r>
    </w:p>
    <w:p w14:paraId="043C932A" w14:textId="77777777" w:rsidR="00F96418" w:rsidRDefault="00000000">
      <w:pPr>
        <w:spacing w:after="0" w:line="240" w:lineRule="auto"/>
        <w:ind w:left="5952"/>
        <w:rPr>
          <w:rFonts w:ascii="Times New Roman" w:eastAsia="Times New Roman" w:hAnsi="Times New Roman" w:cs="Times New Roman"/>
          <w:sz w:val="24"/>
          <w:szCs w:val="24"/>
        </w:rPr>
      </w:pPr>
      <w:r>
        <w:rPr>
          <w:rFonts w:ascii="Times New Roman" w:eastAsia="Times New Roman" w:hAnsi="Times New Roman" w:cs="Times New Roman"/>
          <w:sz w:val="24"/>
          <w:szCs w:val="24"/>
        </w:rPr>
        <w:t>Рішенням Уповноваженої особи</w:t>
      </w:r>
      <w:r>
        <w:rPr>
          <w:rFonts w:ascii="Times New Roman" w:eastAsia="Times New Roman" w:hAnsi="Times New Roman" w:cs="Times New Roman"/>
          <w:i/>
          <w:sz w:val="24"/>
          <w:szCs w:val="24"/>
        </w:rPr>
        <w:t> </w:t>
      </w:r>
    </w:p>
    <w:p w14:paraId="22E6527B" w14:textId="77777777" w:rsidR="00F96418" w:rsidRDefault="00000000">
      <w:pPr>
        <w:spacing w:after="0" w:line="240" w:lineRule="auto"/>
        <w:ind w:left="5952"/>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Департаменту житлово-комунального господарства Харківської міської ради</w:t>
      </w:r>
    </w:p>
    <w:p w14:paraId="78F6FBB3" w14:textId="3D88AFCA" w:rsidR="00F96418" w:rsidRDefault="00000000" w:rsidP="00123CB7">
      <w:pPr>
        <w:spacing w:after="0" w:line="240" w:lineRule="auto"/>
        <w:ind w:left="5952"/>
        <w:rPr>
          <w:rFonts w:ascii="Times New Roman" w:eastAsia="Times New Roman" w:hAnsi="Times New Roman" w:cs="Times New Roman"/>
          <w:sz w:val="24"/>
          <w:szCs w:val="24"/>
        </w:rPr>
      </w:pPr>
      <w:r>
        <w:rPr>
          <w:rFonts w:ascii="Times New Roman" w:eastAsia="Times New Roman" w:hAnsi="Times New Roman" w:cs="Times New Roman"/>
          <w:sz w:val="24"/>
          <w:szCs w:val="24"/>
        </w:rPr>
        <w:t>від 2</w:t>
      </w:r>
      <w:r w:rsidR="00123CB7">
        <w:rPr>
          <w:rFonts w:ascii="Times New Roman" w:eastAsia="Times New Roman" w:hAnsi="Times New Roman" w:cs="Times New Roman"/>
          <w:sz w:val="24"/>
          <w:szCs w:val="24"/>
        </w:rPr>
        <w:t>3</w:t>
      </w:r>
      <w:r>
        <w:rPr>
          <w:rFonts w:ascii="Times New Roman" w:eastAsia="Times New Roman" w:hAnsi="Times New Roman" w:cs="Times New Roman"/>
          <w:sz w:val="24"/>
          <w:szCs w:val="24"/>
        </w:rPr>
        <w:t>.04.2024 № 3</w:t>
      </w:r>
    </w:p>
    <w:p w14:paraId="3622F9BA" w14:textId="77777777" w:rsidR="00F96418" w:rsidRDefault="00F96418">
      <w:pPr>
        <w:spacing w:after="0" w:line="240" w:lineRule="auto"/>
        <w:ind w:left="5952"/>
        <w:rPr>
          <w:rFonts w:ascii="Times New Roman" w:eastAsia="Times New Roman" w:hAnsi="Times New Roman" w:cs="Times New Roman"/>
          <w:sz w:val="24"/>
          <w:szCs w:val="24"/>
        </w:rPr>
      </w:pPr>
    </w:p>
    <w:p w14:paraId="76D321D2" w14:textId="77777777" w:rsidR="00F96418" w:rsidRDefault="00000000">
      <w:pPr>
        <w:spacing w:after="0" w:line="240" w:lineRule="auto"/>
        <w:ind w:left="5952"/>
        <w:rPr>
          <w:rFonts w:ascii="Times New Roman" w:eastAsia="Times New Roman" w:hAnsi="Times New Roman" w:cs="Times New Roman"/>
          <w:b/>
          <w:sz w:val="20"/>
          <w:szCs w:val="20"/>
        </w:rPr>
      </w:pPr>
      <w:r>
        <w:rPr>
          <w:rFonts w:ascii="Times New Roman" w:eastAsia="Times New Roman" w:hAnsi="Times New Roman" w:cs="Times New Roman"/>
          <w:sz w:val="24"/>
          <w:szCs w:val="24"/>
        </w:rPr>
        <w:t>___________</w:t>
      </w:r>
      <w:proofErr w:type="spellStart"/>
      <w:r>
        <w:rPr>
          <w:rFonts w:ascii="Times New Roman" w:eastAsia="Times New Roman" w:hAnsi="Times New Roman" w:cs="Times New Roman"/>
          <w:sz w:val="24"/>
          <w:szCs w:val="24"/>
        </w:rPr>
        <w:t>Арина</w:t>
      </w:r>
      <w:proofErr w:type="spellEnd"/>
      <w:r>
        <w:rPr>
          <w:rFonts w:ascii="Times New Roman" w:eastAsia="Times New Roman" w:hAnsi="Times New Roman" w:cs="Times New Roman"/>
          <w:sz w:val="24"/>
          <w:szCs w:val="24"/>
        </w:rPr>
        <w:t xml:space="preserve"> ПИЛИПЕНКО</w:t>
      </w:r>
    </w:p>
    <w:p w14:paraId="1CC5598C" w14:textId="77777777" w:rsidR="00F96418"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5A0904D5" w14:textId="77777777" w:rsidR="00F96418" w:rsidRDefault="0000000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ТЕНДЕРНА ДОКУМЕНТАЦІЯ</w:t>
      </w:r>
    </w:p>
    <w:p w14:paraId="270B4954" w14:textId="77777777" w:rsidR="00F96418" w:rsidRDefault="0000000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ВІДКРИТІ ТОРГИ</w:t>
      </w:r>
    </w:p>
    <w:p w14:paraId="7708EF35" w14:textId="77777777" w:rsidR="00F96418" w:rsidRDefault="0000000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закупівлю за предметом:</w:t>
      </w:r>
    </w:p>
    <w:p w14:paraId="2CCDC056" w14:textId="77777777" w:rsidR="00F96418" w:rsidRDefault="00F96418">
      <w:pPr>
        <w:spacing w:after="0" w:line="240" w:lineRule="auto"/>
        <w:jc w:val="center"/>
        <w:rPr>
          <w:rFonts w:ascii="Times New Roman" w:eastAsia="Times New Roman" w:hAnsi="Times New Roman" w:cs="Times New Roman"/>
          <w:b/>
          <w:sz w:val="28"/>
          <w:szCs w:val="28"/>
        </w:rPr>
      </w:pPr>
    </w:p>
    <w:p w14:paraId="6C587549" w14:textId="77777777" w:rsidR="00F96418" w:rsidRDefault="00000000">
      <w:pPr>
        <w:spacing w:after="0" w:line="240" w:lineRule="auto"/>
        <w:ind w:right="-28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«Поточний ремонт по усуненню аварій в житловому фонді багатоквартирного будинку за </w:t>
      </w:r>
      <w:proofErr w:type="spellStart"/>
      <w:r>
        <w:rPr>
          <w:rFonts w:ascii="Times New Roman" w:eastAsia="Times New Roman" w:hAnsi="Times New Roman" w:cs="Times New Roman"/>
          <w:b/>
          <w:sz w:val="24"/>
          <w:szCs w:val="24"/>
        </w:rPr>
        <w:t>адресою</w:t>
      </w:r>
      <w:proofErr w:type="spellEnd"/>
      <w:r>
        <w:rPr>
          <w:rFonts w:ascii="Times New Roman" w:eastAsia="Times New Roman" w:hAnsi="Times New Roman" w:cs="Times New Roman"/>
          <w:b/>
          <w:sz w:val="24"/>
          <w:szCs w:val="24"/>
        </w:rPr>
        <w:t>: вулиця Селянська, 34-А,  місто Харків (код ДК 021:2015-</w:t>
      </w:r>
      <w:r>
        <w:t xml:space="preserve"> </w:t>
      </w:r>
      <w:r>
        <w:rPr>
          <w:rFonts w:ascii="Times New Roman" w:eastAsia="Times New Roman" w:hAnsi="Times New Roman" w:cs="Times New Roman"/>
          <w:b/>
          <w:sz w:val="24"/>
          <w:szCs w:val="24"/>
        </w:rPr>
        <w:t>45260000-7 Покрівельні роботи та інші спеціалізовані будівельні роботи)»</w:t>
      </w:r>
    </w:p>
    <w:p w14:paraId="18986DC1" w14:textId="77777777" w:rsidR="00F96418" w:rsidRDefault="00F96418">
      <w:pPr>
        <w:spacing w:after="0" w:line="240" w:lineRule="auto"/>
        <w:ind w:right="-284" w:firstLine="709"/>
        <w:jc w:val="center"/>
        <w:rPr>
          <w:rFonts w:ascii="Times New Roman" w:eastAsia="Times New Roman" w:hAnsi="Times New Roman" w:cs="Times New Roman"/>
          <w:b/>
          <w:sz w:val="24"/>
          <w:szCs w:val="24"/>
        </w:rPr>
      </w:pPr>
    </w:p>
    <w:p w14:paraId="2AB73EE2" w14:textId="77777777" w:rsidR="00F96418" w:rsidRDefault="00F96418">
      <w:pPr>
        <w:spacing w:after="0" w:line="240" w:lineRule="auto"/>
        <w:ind w:right="-284" w:firstLine="709"/>
        <w:jc w:val="center"/>
        <w:rPr>
          <w:rFonts w:ascii="Times New Roman" w:eastAsia="Times New Roman" w:hAnsi="Times New Roman" w:cs="Times New Roman"/>
          <w:b/>
          <w:sz w:val="24"/>
          <w:szCs w:val="24"/>
        </w:rPr>
      </w:pPr>
    </w:p>
    <w:p w14:paraId="52F43FAA" w14:textId="77777777" w:rsidR="00F96418" w:rsidRDefault="00F96418">
      <w:pPr>
        <w:spacing w:after="0" w:line="240" w:lineRule="auto"/>
        <w:jc w:val="center"/>
        <w:rPr>
          <w:rFonts w:ascii="Times New Roman" w:eastAsia="Times New Roman" w:hAnsi="Times New Roman" w:cs="Times New Roman"/>
          <w:b/>
          <w:sz w:val="24"/>
          <w:szCs w:val="24"/>
        </w:rPr>
      </w:pPr>
    </w:p>
    <w:p w14:paraId="7F3B353F" w14:textId="77777777" w:rsidR="00F96418"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1D769F96" w14:textId="77777777" w:rsidR="00F96418"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 Харків</w:t>
      </w:r>
    </w:p>
    <w:p w14:paraId="6AD4EDF8" w14:textId="77777777" w:rsidR="00F96418" w:rsidRDefault="00000000">
      <w:pPr>
        <w:spacing w:line="240" w:lineRule="auto"/>
        <w:rPr>
          <w:rFonts w:ascii="Times New Roman" w:eastAsia="Times New Roman" w:hAnsi="Times New Roman" w:cs="Times New Roman"/>
          <w:sz w:val="24"/>
          <w:szCs w:val="24"/>
        </w:rPr>
      </w:pPr>
      <w:r>
        <w:br w:type="page"/>
      </w:r>
    </w:p>
    <w:tbl>
      <w:tblPr>
        <w:tblStyle w:val="af8"/>
        <w:tblW w:w="9921" w:type="dxa"/>
        <w:tblInd w:w="-3" w:type="dxa"/>
        <w:tblLayout w:type="fixed"/>
        <w:tblLook w:val="0400" w:firstRow="0" w:lastRow="0" w:firstColumn="0" w:lastColumn="0" w:noHBand="0" w:noVBand="1"/>
      </w:tblPr>
      <w:tblGrid>
        <w:gridCol w:w="525"/>
        <w:gridCol w:w="3390"/>
        <w:gridCol w:w="6006"/>
      </w:tblGrid>
      <w:tr w:rsidR="00F96418" w14:paraId="0118E814"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5BA30F1" w14:textId="77777777" w:rsidR="00F96418"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w:t>
            </w:r>
          </w:p>
        </w:tc>
        <w:tc>
          <w:tcPr>
            <w:tcW w:w="9396"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2F44C1D" w14:textId="77777777" w:rsidR="00F96418"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Загальні положення</w:t>
            </w:r>
          </w:p>
        </w:tc>
      </w:tr>
      <w:tr w:rsidR="00F96418" w14:paraId="5FD736C9" w14:textId="77777777">
        <w:trPr>
          <w:trHeight w:val="17"/>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38BFE30" w14:textId="77777777" w:rsidR="00F96418"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1</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CA356C0" w14:textId="77777777" w:rsidR="00F96418"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2</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143C487" w14:textId="77777777" w:rsidR="00F96418"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3</w:t>
            </w:r>
          </w:p>
        </w:tc>
      </w:tr>
      <w:tr w:rsidR="00F96418" w14:paraId="3848697E"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E5DA6F7" w14:textId="77777777" w:rsidR="00F96418"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9DB4BCA" w14:textId="77777777" w:rsidR="00F96418"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Терміни, які вживаються в тендерній документації</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CF75A19" w14:textId="77777777" w:rsidR="00F9641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w:t>
            </w:r>
            <w:r>
              <w:rPr>
                <w:rFonts w:ascii="Times New Roman" w:eastAsia="Times New Roman" w:hAnsi="Times New Roman" w:cs="Times New Roman"/>
                <w:sz w:val="24"/>
                <w:szCs w:val="24"/>
              </w:rPr>
              <w:t>Особливостей</w:t>
            </w:r>
            <w:r>
              <w:rPr>
                <w:rFonts w:ascii="Times New Roman" w:eastAsia="Times New Roman" w:hAnsi="Times New Roman" w:cs="Times New Roman"/>
                <w:color w:val="000000"/>
                <w:sz w:val="24"/>
                <w:szCs w:val="24"/>
              </w:rPr>
              <w:t>.</w:t>
            </w:r>
          </w:p>
        </w:tc>
      </w:tr>
      <w:tr w:rsidR="00F96418" w14:paraId="30A1FC20"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D03DCB7" w14:textId="77777777" w:rsidR="00F96418"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8373F6F" w14:textId="77777777" w:rsidR="00F96418"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замовника торгів</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A894ED4" w14:textId="77777777" w:rsidR="00F96418" w:rsidRDefault="00F96418">
            <w:pPr>
              <w:spacing w:after="0" w:line="240" w:lineRule="auto"/>
              <w:rPr>
                <w:rFonts w:ascii="Times New Roman" w:eastAsia="Times New Roman" w:hAnsi="Times New Roman" w:cs="Times New Roman"/>
                <w:sz w:val="24"/>
                <w:szCs w:val="24"/>
              </w:rPr>
            </w:pPr>
          </w:p>
        </w:tc>
      </w:tr>
      <w:tr w:rsidR="00F96418" w14:paraId="11E2ED49"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1521AAF" w14:textId="77777777" w:rsidR="00F96418" w:rsidRDefault="00000000">
            <w:pPr>
              <w:spacing w:before="150" w:after="150" w:line="240" w:lineRule="auto"/>
              <w:ind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5D69B37" w14:textId="77777777" w:rsidR="00F96418"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50D7F8C" w14:textId="77777777" w:rsidR="00F96418" w:rsidRDefault="00000000">
            <w:pPr>
              <w:widowControl w:val="0"/>
              <w:pBdr>
                <w:top w:val="nil"/>
                <w:left w:val="nil"/>
                <w:bottom w:val="nil"/>
                <w:right w:val="nil"/>
                <w:between w:val="nil"/>
              </w:pBdr>
              <w:spacing w:after="0" w:line="240" w:lineRule="auto"/>
              <w:ind w:left="-27"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житлово-комунального господарства Харківської міської ради</w:t>
            </w:r>
          </w:p>
        </w:tc>
      </w:tr>
      <w:tr w:rsidR="00F96418" w14:paraId="0AD49C8C"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9B5D1AD" w14:textId="77777777" w:rsidR="00F96418" w:rsidRDefault="00000000">
            <w:pPr>
              <w:spacing w:before="150" w:after="150" w:line="240" w:lineRule="auto"/>
              <w:ind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F39B09D" w14:textId="77777777" w:rsidR="00F96418"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3395DE9" w14:textId="77777777" w:rsidR="00F96418" w:rsidRDefault="00000000">
            <w:pPr>
              <w:widowControl w:val="0"/>
              <w:pBdr>
                <w:top w:val="nil"/>
                <w:left w:val="nil"/>
                <w:bottom w:val="nil"/>
                <w:right w:val="nil"/>
                <w:between w:val="nil"/>
              </w:pBdr>
              <w:spacing w:after="0" w:line="240" w:lineRule="auto"/>
              <w:ind w:left="-27"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61003, Україна, Харківська область, місто Харків, Конституції майдан, будинок 7</w:t>
            </w:r>
          </w:p>
        </w:tc>
      </w:tr>
      <w:tr w:rsidR="00F96418" w14:paraId="3E91CE1A" w14:textId="77777777">
        <w:trPr>
          <w:trHeight w:val="1318"/>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98665BA" w14:textId="77777777" w:rsidR="00F96418" w:rsidRDefault="00000000">
            <w:pPr>
              <w:spacing w:before="150" w:after="150" w:line="240" w:lineRule="auto"/>
              <w:ind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3F95341" w14:textId="77777777" w:rsidR="00F96418"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Посадова(і) особа(и) замовника, уповноважена(і) здійснювати зв'язок з учасниками</w:t>
            </w:r>
          </w:p>
        </w:tc>
        <w:tc>
          <w:tcPr>
            <w:tcW w:w="600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EFBD7C8" w14:textId="77777777" w:rsidR="00F96418" w:rsidRDefault="00000000">
            <w:pPr>
              <w:widowControl w:val="0"/>
              <w:spacing w:after="0" w:line="240" w:lineRule="auto"/>
              <w:ind w:left="-27"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Пилипенко </w:t>
            </w:r>
            <w:proofErr w:type="spellStart"/>
            <w:r>
              <w:rPr>
                <w:rFonts w:ascii="Times New Roman" w:eastAsia="Times New Roman" w:hAnsi="Times New Roman" w:cs="Times New Roman"/>
                <w:sz w:val="24"/>
                <w:szCs w:val="24"/>
              </w:rPr>
              <w:t>Арина</w:t>
            </w:r>
            <w:proofErr w:type="spellEnd"/>
            <w:r>
              <w:rPr>
                <w:rFonts w:ascii="Times New Roman" w:eastAsia="Times New Roman" w:hAnsi="Times New Roman" w:cs="Times New Roman"/>
                <w:sz w:val="24"/>
                <w:szCs w:val="24"/>
              </w:rPr>
              <w:t xml:space="preserve"> Сергіївна - головний спеціаліст відділу координації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Департаменту житлово-комунального господарства Харківської міської ради, arinadgkh@gmail.com </w:t>
            </w:r>
          </w:p>
        </w:tc>
      </w:tr>
      <w:tr w:rsidR="00F96418" w14:paraId="6A2A8C83"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A9C88FE" w14:textId="77777777" w:rsidR="00F96418" w:rsidRDefault="00000000">
            <w:pPr>
              <w:spacing w:before="150" w:after="150" w:line="240" w:lineRule="auto"/>
              <w:ind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2407866" w14:textId="77777777" w:rsidR="00F96418"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Процедура закупівлі</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E57D245" w14:textId="77777777" w:rsidR="00F96418"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w:t>
            </w:r>
            <w:r>
              <w:rPr>
                <w:rFonts w:ascii="Times New Roman" w:eastAsia="Times New Roman" w:hAnsi="Times New Roman" w:cs="Times New Roman"/>
                <w:sz w:val="24"/>
                <w:szCs w:val="24"/>
              </w:rPr>
              <w:t xml:space="preserve">дкриті торги </w:t>
            </w:r>
          </w:p>
        </w:tc>
      </w:tr>
      <w:tr w:rsidR="00F96418" w14:paraId="0B1BB1D2"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D5D698F" w14:textId="77777777" w:rsidR="00F96418" w:rsidRDefault="00000000">
            <w:pPr>
              <w:spacing w:before="150" w:after="150" w:line="240" w:lineRule="auto"/>
              <w:ind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3A78957" w14:textId="77777777" w:rsidR="00F96418"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предмет закупівлі</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D4C81C8" w14:textId="77777777" w:rsidR="00F96418" w:rsidRDefault="00F96418">
            <w:pPr>
              <w:spacing w:after="0" w:line="240" w:lineRule="auto"/>
              <w:rPr>
                <w:rFonts w:ascii="Times New Roman" w:eastAsia="Times New Roman" w:hAnsi="Times New Roman" w:cs="Times New Roman"/>
                <w:sz w:val="24"/>
                <w:szCs w:val="24"/>
              </w:rPr>
            </w:pPr>
          </w:p>
        </w:tc>
      </w:tr>
      <w:tr w:rsidR="00F96418" w14:paraId="3A64C2D2" w14:textId="77777777">
        <w:trPr>
          <w:trHeight w:val="2069"/>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08188CD" w14:textId="77777777" w:rsidR="00F96418" w:rsidRDefault="00000000">
            <w:pPr>
              <w:spacing w:before="150" w:after="150" w:line="240" w:lineRule="auto"/>
              <w:ind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469ED33" w14:textId="77777777" w:rsidR="00F96418"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EBD975E" w14:textId="77777777" w:rsidR="00F9641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Поточний ремонт по усуненню аварій в житловому фонді багатоквартирного будинку за </w:t>
            </w:r>
            <w:proofErr w:type="spellStart"/>
            <w:r>
              <w:rPr>
                <w:rFonts w:ascii="Times New Roman" w:eastAsia="Times New Roman" w:hAnsi="Times New Roman" w:cs="Times New Roman"/>
                <w:sz w:val="24"/>
                <w:szCs w:val="24"/>
              </w:rPr>
              <w:t>адресою</w:t>
            </w:r>
            <w:proofErr w:type="spellEnd"/>
            <w:r>
              <w:rPr>
                <w:rFonts w:ascii="Times New Roman" w:eastAsia="Times New Roman" w:hAnsi="Times New Roman" w:cs="Times New Roman"/>
                <w:sz w:val="24"/>
                <w:szCs w:val="24"/>
              </w:rPr>
              <w:t>: вулиця Селянська, 34-А, місто Харків (код ДК 021:2015-</w:t>
            </w:r>
            <w:r>
              <w:t xml:space="preserve"> </w:t>
            </w:r>
            <w:r>
              <w:rPr>
                <w:rFonts w:ascii="Times New Roman" w:eastAsia="Times New Roman" w:hAnsi="Times New Roman" w:cs="Times New Roman"/>
                <w:sz w:val="24"/>
                <w:szCs w:val="24"/>
              </w:rPr>
              <w:t>45260000-7 Покрівельні роботи та інші спеціалізовані будівельні роботи)</w:t>
            </w:r>
          </w:p>
        </w:tc>
      </w:tr>
      <w:tr w:rsidR="00F96418" w14:paraId="1DEE1F08"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692CBAE" w14:textId="77777777" w:rsidR="00F96418" w:rsidRDefault="00000000">
            <w:pPr>
              <w:spacing w:before="150" w:after="150" w:line="240" w:lineRule="auto"/>
              <w:ind w:left="-46"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89CA071" w14:textId="77777777" w:rsidR="00F96418"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опис окремої частини (частин) предмета закупівлі (лота), щодо якої можуть бути подані тендерні пропозиції</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BC3B470" w14:textId="77777777" w:rsidR="00F9641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без поділу на лоти</w:t>
            </w:r>
          </w:p>
        </w:tc>
      </w:tr>
      <w:tr w:rsidR="00F96418" w14:paraId="2C16BDA4"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3293093" w14:textId="77777777" w:rsidR="00F96418" w:rsidRDefault="00000000">
            <w:pPr>
              <w:spacing w:before="150" w:after="150" w:line="240" w:lineRule="auto"/>
              <w:ind w:left="-46"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E3959DB" w14:textId="77777777" w:rsidR="00F96418"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9391A53" w14:textId="77777777" w:rsidR="00F96418"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надання послуг: 61000, Україна, Харківська область, місто Харків, вулиця Селянська, 34-А</w:t>
            </w:r>
          </w:p>
          <w:p w14:paraId="0EB3AE0F" w14:textId="77777777" w:rsidR="00F96418" w:rsidRDefault="00000000">
            <w:pPr>
              <w:spacing w:before="150"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Обсяг надання послуг: </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 xml:space="preserve"> послуга.</w:t>
            </w:r>
          </w:p>
          <w:p w14:paraId="1E292901" w14:textId="77777777" w:rsidR="00F96418"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відповідності до інформації про необхідні технічні, якісні та кількісні характеристики предмета закупівлі та </w:t>
            </w:r>
            <w:r>
              <w:rPr>
                <w:rFonts w:ascii="Times New Roman" w:eastAsia="Times New Roman" w:hAnsi="Times New Roman" w:cs="Times New Roman"/>
                <w:sz w:val="24"/>
                <w:szCs w:val="24"/>
              </w:rPr>
              <w:lastRenderedPageBreak/>
              <w:t>технічна специфікація до предмета закупівлі (додаток 3 тендерної документації).</w:t>
            </w:r>
          </w:p>
        </w:tc>
      </w:tr>
      <w:tr w:rsidR="00F96418" w14:paraId="4A040744"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F7611D8" w14:textId="77777777" w:rsidR="00F96418" w:rsidRDefault="00000000">
            <w:pPr>
              <w:spacing w:before="150" w:after="150" w:line="240" w:lineRule="auto"/>
              <w:ind w:left="-46"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F97806E" w14:textId="77777777" w:rsidR="00F96418"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виконання робіт, надання послуг</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226EAA2" w14:textId="77777777" w:rsidR="00F96418"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3</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08</w:t>
            </w: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4</w:t>
            </w:r>
          </w:p>
        </w:tc>
      </w:tr>
      <w:tr w:rsidR="00F96418" w14:paraId="6FC4671C" w14:textId="77777777">
        <w:trPr>
          <w:trHeight w:val="11204"/>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797A14F" w14:textId="77777777" w:rsidR="00F96418"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F1412DD" w14:textId="77777777" w:rsidR="00F96418"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Недискримінація учасників</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02486D9" w14:textId="77777777" w:rsidR="00F9641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на рівних умовах окрім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455EF27" w14:textId="77777777" w:rsidR="00F9641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Учасники закупівлі повинні при підготовці тендерної пропозиції підтвердити відповідність вимогам щодо етичної поведінки під час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згідно затвердженої Мінекономіки типової форми Настанов щодо етичної поведінки учасників/потенційних учасників під час участі в публічних </w:t>
            </w:r>
            <w:proofErr w:type="spellStart"/>
            <w:r>
              <w:rPr>
                <w:rFonts w:ascii="Times New Roman" w:eastAsia="Times New Roman" w:hAnsi="Times New Roman" w:cs="Times New Roman"/>
                <w:sz w:val="24"/>
                <w:szCs w:val="24"/>
              </w:rPr>
              <w:t>закупівлях</w:t>
            </w:r>
            <w:proofErr w:type="spellEnd"/>
            <w:r>
              <w:rPr>
                <w:rFonts w:ascii="Times New Roman" w:eastAsia="Times New Roman" w:hAnsi="Times New Roman" w:cs="Times New Roman"/>
                <w:sz w:val="24"/>
                <w:szCs w:val="24"/>
              </w:rPr>
              <w:t xml:space="preserve"> з наданням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 xml:space="preserve">-копії таких настанов.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добросовісної конкуренції. Серед таких документів повинен знаходитись наказ підприємства-учасника щодо призначення уповноваженого працівника, відповідального за контроль та дотримання заходів і політики етичної поведінки при участі у процедурах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F96418" w14:paraId="5C1F70FE"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CB482FF" w14:textId="77777777" w:rsidR="00F96418"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4126B26" w14:textId="77777777" w:rsidR="00F96418"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валюту, у якій повинна бути зазначена ціна тендерної пропозиції</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1A5439C" w14:textId="77777777" w:rsidR="00F96418"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sz w:val="24"/>
                <w:szCs w:val="24"/>
              </w:rPr>
              <w:t>.</w:t>
            </w:r>
          </w:p>
        </w:tc>
      </w:tr>
      <w:tr w:rsidR="00F96418" w14:paraId="32706DE7"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D3E9864" w14:textId="77777777" w:rsidR="00F96418"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568FF2F" w14:textId="77777777" w:rsidR="00F96418"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мову (мови), якою (якими) повинні бути складені тендерні пропозиції</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8127328" w14:textId="77777777" w:rsidR="00F96418"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Мова тендерної пропозиції – українська.</w:t>
            </w:r>
          </w:p>
          <w:p w14:paraId="06D8B182" w14:textId="77777777" w:rsidR="00F96418"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процедур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усі документи, що готуються учасником, викладаються українською мовою, а також за рішенням учасника одночасно всі документи можуть мати автентичний переклад іншою мовою. Визначальним є текст, викладений українською мовою.</w:t>
            </w:r>
          </w:p>
          <w:p w14:paraId="421E71E3" w14:textId="77777777" w:rsidR="00F9641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503EB02" w14:textId="77777777" w:rsidR="00F9641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Pr>
                <w:rFonts w:ascii="Times New Roman" w:eastAsia="Times New Roman" w:hAnsi="Times New Roman" w:cs="Times New Roman"/>
                <w:sz w:val="24"/>
                <w:szCs w:val="24"/>
              </w:rPr>
              <w:t>знака</w:t>
            </w:r>
            <w:proofErr w:type="spellEnd"/>
            <w:r>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225B6187" w14:textId="77777777" w:rsidR="00F9641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Виключення:</w:t>
            </w:r>
          </w:p>
          <w:p w14:paraId="26B93B8E" w14:textId="77777777" w:rsidR="00F9641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2B2E8350" w14:textId="77777777" w:rsidR="00F9641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96418" w14:paraId="7A2957DB" w14:textId="77777777">
        <w:trPr>
          <w:trHeight w:val="2186"/>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E350898" w14:textId="77777777" w:rsidR="00F96418"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397623E" w14:textId="77777777" w:rsidR="00F96418"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1A0D91D" w14:textId="77777777" w:rsidR="00F9641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62B5F949" w14:textId="77777777" w:rsidR="00F96418" w:rsidRDefault="00F96418">
            <w:pPr>
              <w:spacing w:before="150" w:after="150" w:line="240" w:lineRule="auto"/>
              <w:jc w:val="both"/>
              <w:rPr>
                <w:rFonts w:ascii="Times New Roman" w:eastAsia="Times New Roman" w:hAnsi="Times New Roman" w:cs="Times New Roman"/>
                <w:sz w:val="24"/>
                <w:szCs w:val="24"/>
              </w:rPr>
            </w:pPr>
          </w:p>
        </w:tc>
      </w:tr>
      <w:tr w:rsidR="00F96418" w14:paraId="21937A6F" w14:textId="77777777">
        <w:tc>
          <w:tcPr>
            <w:tcW w:w="99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F1C73CE" w14:textId="77777777" w:rsidR="00F96418"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унесення змін та надання роз'яснень до тендерної документації</w:t>
            </w:r>
          </w:p>
        </w:tc>
      </w:tr>
      <w:tr w:rsidR="00F96418" w14:paraId="542B8554" w14:textId="77777777">
        <w:trPr>
          <w:trHeight w:val="2352"/>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1CCAA93" w14:textId="77777777" w:rsidR="00F96418"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3B8905D" w14:textId="77777777" w:rsidR="00F96418"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Процедура надання роз'яснень щодо тендерної документації</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A86F3C9" w14:textId="77777777" w:rsidR="00F9641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1643421C" w14:textId="77777777" w:rsidR="00F9641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зупиняє проведення відкритих торгів.</w:t>
            </w:r>
          </w:p>
          <w:p w14:paraId="2D4BE8B7" w14:textId="77777777" w:rsidR="00F96418"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поновлення проведення відкритих торгів замовник повинен розмістити відповідь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одночасним продовженням строку подання тендерних пропозицій не менше ніж на чотири дні.</w:t>
            </w:r>
          </w:p>
        </w:tc>
      </w:tr>
      <w:tr w:rsidR="00F96418" w14:paraId="63FF9225" w14:textId="77777777">
        <w:trPr>
          <w:trHeight w:val="7065"/>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4A6C0FB" w14:textId="77777777" w:rsidR="00F96418"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C463261" w14:textId="77777777" w:rsidR="00F96418"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Внесення змін до тендерної документації</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C077ADF" w14:textId="77777777" w:rsidR="00F96418"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6" w:anchor="n960">
              <w:r>
                <w:rPr>
                  <w:rFonts w:ascii="Times New Roman" w:eastAsia="Times New Roman" w:hAnsi="Times New Roman" w:cs="Times New Roman"/>
                  <w:sz w:val="24"/>
                  <w:szCs w:val="24"/>
                </w:rPr>
                <w:t>статті 8</w:t>
              </w:r>
            </w:hyperlink>
            <w:r>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6601895D" w14:textId="77777777" w:rsidR="00F96418"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Pr>
                <w:rFonts w:ascii="Times New Roman" w:eastAsia="Times New Roman" w:hAnsi="Times New Roman" w:cs="Times New Roman"/>
                <w:sz w:val="24"/>
                <w:szCs w:val="24"/>
              </w:rPr>
              <w:t>машинозчитувальному</w:t>
            </w:r>
            <w:proofErr w:type="spellEnd"/>
            <w:r>
              <w:rPr>
                <w:rFonts w:ascii="Times New Roman" w:eastAsia="Times New Roman" w:hAnsi="Times New Roman" w:cs="Times New Roman"/>
                <w:sz w:val="24"/>
                <w:szCs w:val="24"/>
              </w:rPr>
              <w:t xml:space="preserve"> форматі розміщуються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F96418" w14:paraId="4E15195C" w14:textId="77777777">
        <w:trPr>
          <w:trHeight w:val="335"/>
        </w:trPr>
        <w:tc>
          <w:tcPr>
            <w:tcW w:w="99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E967BB8" w14:textId="77777777" w:rsidR="00F96418"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Інструкція з підготовки тендерної пропозиції</w:t>
            </w:r>
          </w:p>
        </w:tc>
      </w:tr>
      <w:tr w:rsidR="00F96418" w14:paraId="02DB44F2"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A7ABE42" w14:textId="77777777" w:rsidR="00F96418"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1E1A9AA" w14:textId="77777777" w:rsidR="00F96418"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Зміст і спосіб подання тендерної пропозиції</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936C7BB" w14:textId="77777777" w:rsidR="00F9641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встановлених у пункті 47 Особливостей і в тендерній документації, та </w:t>
            </w:r>
            <w:r>
              <w:rPr>
                <w:rFonts w:ascii="Times New Roman" w:eastAsia="Times New Roman" w:hAnsi="Times New Roman" w:cs="Times New Roman"/>
                <w:color w:val="000000"/>
                <w:sz w:val="24"/>
                <w:szCs w:val="24"/>
              </w:rPr>
              <w:t>шляхом завантаження:</w:t>
            </w:r>
          </w:p>
          <w:p w14:paraId="45993D34" w14:textId="77777777" w:rsidR="00F96418" w:rsidRDefault="00000000">
            <w:pPr>
              <w:numPr>
                <w:ilvl w:val="0"/>
                <w:numId w:val="16"/>
              </w:numP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22CDDFDD" w14:textId="77777777" w:rsidR="00F96418" w:rsidRDefault="00000000">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інформації про підтвердження відсутності підстав для відмови в участі у відкритих торгах, встановлені </w:t>
            </w:r>
            <w:r>
              <w:rPr>
                <w:rFonts w:ascii="Times New Roman" w:eastAsia="Times New Roman" w:hAnsi="Times New Roman" w:cs="Times New Roman"/>
                <w:sz w:val="24"/>
                <w:szCs w:val="24"/>
              </w:rPr>
              <w:t>пунктом 47 Особливостей у відповідності до вимог визначених у Додатку № 2 до тендерної документації;</w:t>
            </w:r>
          </w:p>
          <w:p w14:paraId="4F11F14F" w14:textId="77777777" w:rsidR="00F96418" w:rsidRDefault="00000000">
            <w:pPr>
              <w:numPr>
                <w:ilvl w:val="0"/>
                <w:numId w:val="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довідку в довільній формі про те, що між учасником процедури закупівлі і замовником раніше не було/було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7E633D3C" w14:textId="77777777" w:rsidR="00F96418" w:rsidRDefault="00000000">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якщо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такий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w:t>
            </w:r>
          </w:p>
          <w:p w14:paraId="40312953" w14:textId="77777777" w:rsidR="00F96418" w:rsidRDefault="00000000">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підтвердження відповідності пропозиції Учасника технічним, якісним та кількісним характеристикам предмета закупівлі та технічній специфікації до предмета закупівлі Учасники надають документи та інформацію, зазначену та викладену у Додатку № 3 до тендерної документації, та відповідний лист погодження з вимогами, викладеними у Додатку № 3 до тендерної документації;</w:t>
            </w:r>
          </w:p>
          <w:p w14:paraId="390B18D0" w14:textId="77777777" w:rsidR="00F96418" w:rsidRDefault="00000000">
            <w:pPr>
              <w:numPr>
                <w:ilvl w:val="0"/>
                <w:numId w:val="1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документ про створення об’єднання (у разі якщо тендерна пропозиція подається об’єднанням учасників);</w:t>
            </w:r>
          </w:p>
          <w:p w14:paraId="79C3BE39" w14:textId="77777777" w:rsidR="00F96418" w:rsidRDefault="00000000">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документи, які підтверджують повноваження особи на підписання тендерної пропозиції, якщо підписантом тендерної пропозиці</w:t>
            </w:r>
            <w:r>
              <w:rPr>
                <w:rFonts w:ascii="Times New Roman" w:eastAsia="Times New Roman" w:hAnsi="Times New Roman" w:cs="Times New Roman"/>
                <w:sz w:val="24"/>
                <w:szCs w:val="24"/>
              </w:rPr>
              <w:t>ї</w:t>
            </w:r>
            <w:r>
              <w:rPr>
                <w:rFonts w:ascii="Times New Roman" w:eastAsia="Times New Roman" w:hAnsi="Times New Roman" w:cs="Times New Roman"/>
                <w:color w:val="000000"/>
                <w:sz w:val="24"/>
                <w:szCs w:val="24"/>
              </w:rPr>
              <w:t xml:space="preserve"> є не керівник </w:t>
            </w:r>
            <w:r>
              <w:rPr>
                <w:rFonts w:ascii="Times New Roman" w:eastAsia="Times New Roman" w:hAnsi="Times New Roman" w:cs="Times New Roman"/>
                <w:sz w:val="24"/>
                <w:szCs w:val="24"/>
              </w:rPr>
              <w:t>учасника;</w:t>
            </w:r>
          </w:p>
          <w:p w14:paraId="656588AA" w14:textId="77777777" w:rsidR="00F96418" w:rsidRDefault="00000000">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bookmarkStart w:id="0" w:name="_heading=h.30j0zll" w:colFirst="0" w:colLast="0"/>
            <w:bookmarkEnd w:id="0"/>
            <w:r>
              <w:rPr>
                <w:rFonts w:ascii="Times New Roman" w:eastAsia="Times New Roman" w:hAnsi="Times New Roman" w:cs="Times New Roman"/>
                <w:sz w:val="24"/>
                <w:szCs w:val="24"/>
              </w:rPr>
              <w:t>для учасників-юридичних осіб – копію статуту зі змінами (в разі їх наявності) та доповненнями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 учасників;</w:t>
            </w:r>
          </w:p>
          <w:p w14:paraId="0338DA9F" w14:textId="77777777" w:rsidR="00F96418" w:rsidRDefault="00000000">
            <w:pPr>
              <w:numPr>
                <w:ilvl w:val="0"/>
                <w:numId w:val="16"/>
              </w:num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документів та / або інформації визначені тендерною документацією та додатками.</w:t>
            </w:r>
          </w:p>
          <w:p w14:paraId="3727B8B7" w14:textId="77777777" w:rsidR="00F9641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9E60BBE" w14:textId="77777777" w:rsidR="00F9641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w:t>
            </w:r>
          </w:p>
          <w:p w14:paraId="595D3889" w14:textId="77777777" w:rsidR="00F9641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84EC8AB" w14:textId="77777777" w:rsidR="00F9641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Особливостей. </w:t>
            </w:r>
          </w:p>
          <w:p w14:paraId="31752D5A" w14:textId="77777777" w:rsidR="00F9641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Під час використання електронної системи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із накладанням </w:t>
            </w:r>
            <w:r>
              <w:rPr>
                <w:rFonts w:ascii="Times New Roman" w:eastAsia="Times New Roman" w:hAnsi="Times New Roman" w:cs="Times New Roman"/>
                <w:color w:val="000000"/>
                <w:sz w:val="24"/>
                <w:szCs w:val="24"/>
              </w:rPr>
              <w:lastRenderedPageBreak/>
              <w:t xml:space="preserve">кваліфікованого електронного підпису або удосконаленого </w:t>
            </w:r>
            <w:r>
              <w:rPr>
                <w:rFonts w:ascii="Times New Roman" w:eastAsia="Times New Roman" w:hAnsi="Times New Roman" w:cs="Times New Roman"/>
                <w:sz w:val="24"/>
                <w:szCs w:val="24"/>
              </w:rPr>
              <w:t>електронного підпису</w:t>
            </w:r>
            <w:r>
              <w:rPr>
                <w:rFonts w:ascii="Times New Roman" w:eastAsia="Times New Roman" w:hAnsi="Times New Roman" w:cs="Times New Roman"/>
                <w:color w:val="000000"/>
                <w:sz w:val="24"/>
                <w:szCs w:val="24"/>
              </w:rPr>
              <w:t>. </w:t>
            </w:r>
          </w:p>
          <w:p w14:paraId="77599861" w14:textId="77777777" w:rsidR="00F9641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під час подання тендерної пропозиції має накласти кваліфікований електронний підпис </w:t>
            </w:r>
            <w:r>
              <w:rPr>
                <w:rFonts w:ascii="Times New Roman" w:eastAsia="Times New Roman" w:hAnsi="Times New Roman" w:cs="Times New Roman"/>
                <w:sz w:val="24"/>
                <w:szCs w:val="24"/>
              </w:rPr>
              <w:t>або удосконалений електронний підпис</w:t>
            </w:r>
            <w:r>
              <w:rPr>
                <w:rFonts w:ascii="Times New Roman" w:eastAsia="Times New Roman" w:hAnsi="Times New Roman" w:cs="Times New Roman"/>
                <w:color w:val="000000"/>
                <w:sz w:val="24"/>
                <w:szCs w:val="24"/>
              </w:rPr>
              <w:t xml:space="preserve"> особи уповноваженої на підписання тендерної пропозиції учасника. </w:t>
            </w:r>
          </w:p>
          <w:p w14:paraId="4337B467" w14:textId="77777777" w:rsidR="00F9641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Опис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B10B44D" w14:textId="77777777" w:rsidR="00F9641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Перелік</w:t>
            </w:r>
            <w:r>
              <w:rPr>
                <w:color w:val="000000"/>
              </w:rPr>
              <w:t xml:space="preserve"> </w:t>
            </w:r>
            <w:r>
              <w:rPr>
                <w:rFonts w:ascii="Times New Roman" w:eastAsia="Times New Roman" w:hAnsi="Times New Roman" w:cs="Times New Roman"/>
                <w:color w:val="000000"/>
                <w:sz w:val="24"/>
                <w:szCs w:val="24"/>
              </w:rPr>
              <w:t>формальних помилок, затверджений наказом Мінекономіки від 15.04.2020 № 710:</w:t>
            </w:r>
          </w:p>
          <w:p w14:paraId="5AE1C27E" w14:textId="77777777" w:rsidR="00F9641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нформація/документ, подана учасником процедури закупівлі у складі тендерної пропозиції, містить помилку (помилки) у частині: </w:t>
            </w:r>
          </w:p>
          <w:p w14:paraId="21EF316B" w14:textId="77777777" w:rsidR="00F96418" w:rsidRDefault="00000000">
            <w:pPr>
              <w:numPr>
                <w:ilvl w:val="0"/>
                <w:numId w:val="8"/>
              </w:numP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уживання великої літери; </w:t>
            </w:r>
          </w:p>
          <w:p w14:paraId="7047A0F2" w14:textId="77777777" w:rsidR="00F96418" w:rsidRDefault="00000000">
            <w:pPr>
              <w:numPr>
                <w:ilvl w:val="0"/>
                <w:numId w:val="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уживання розділових знаків та відмінювання слів у реченні; </w:t>
            </w:r>
          </w:p>
          <w:p w14:paraId="06F66445" w14:textId="77777777" w:rsidR="00F96418" w:rsidRDefault="00000000">
            <w:pPr>
              <w:numPr>
                <w:ilvl w:val="0"/>
                <w:numId w:val="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використання слова або </w:t>
            </w:r>
            <w:proofErr w:type="spellStart"/>
            <w:r>
              <w:rPr>
                <w:rFonts w:ascii="Times New Roman" w:eastAsia="Times New Roman" w:hAnsi="Times New Roman" w:cs="Times New Roman"/>
                <w:color w:val="000000"/>
                <w:sz w:val="24"/>
                <w:szCs w:val="24"/>
              </w:rPr>
              <w:t>мовного</w:t>
            </w:r>
            <w:proofErr w:type="spellEnd"/>
            <w:r>
              <w:rPr>
                <w:rFonts w:ascii="Times New Roman" w:eastAsia="Times New Roman" w:hAnsi="Times New Roman" w:cs="Times New Roman"/>
                <w:color w:val="000000"/>
                <w:sz w:val="24"/>
                <w:szCs w:val="24"/>
              </w:rPr>
              <w:t xml:space="preserve"> звороту, запозичених з іншої мови; </w:t>
            </w:r>
          </w:p>
          <w:p w14:paraId="35716463" w14:textId="77777777" w:rsidR="00F96418" w:rsidRDefault="00000000">
            <w:pPr>
              <w:numPr>
                <w:ilvl w:val="0"/>
                <w:numId w:val="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та/або унікального номера повідомлення про намір укласти договір про закупівлю - помилка в цифрах; </w:t>
            </w:r>
          </w:p>
          <w:p w14:paraId="5A250214" w14:textId="77777777" w:rsidR="00F96418" w:rsidRDefault="00000000">
            <w:pPr>
              <w:numPr>
                <w:ilvl w:val="0"/>
                <w:numId w:val="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застосування правил переносу частини слова з рядка в рядок; </w:t>
            </w:r>
          </w:p>
          <w:p w14:paraId="58CDAA7B" w14:textId="77777777" w:rsidR="00F96418" w:rsidRDefault="00000000">
            <w:pPr>
              <w:numPr>
                <w:ilvl w:val="0"/>
                <w:numId w:val="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написання слів разом та/або окремо, та/або через дефіс; </w:t>
            </w:r>
          </w:p>
          <w:p w14:paraId="65121C21" w14:textId="77777777" w:rsidR="00F96418" w:rsidRDefault="00000000">
            <w:pPr>
              <w:numPr>
                <w:ilvl w:val="0"/>
                <w:numId w:val="8"/>
              </w:num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02CE09F7" w14:textId="77777777" w:rsidR="00F9641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3560F264" w14:textId="77777777" w:rsidR="00F9641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 Невірна назва документа (документів), що подається учасником процедури закупівлі у складі тендерної </w:t>
            </w:r>
            <w:r>
              <w:rPr>
                <w:rFonts w:ascii="Times New Roman" w:eastAsia="Times New Roman" w:hAnsi="Times New Roman" w:cs="Times New Roman"/>
                <w:color w:val="000000"/>
                <w:sz w:val="24"/>
                <w:szCs w:val="24"/>
              </w:rPr>
              <w:lastRenderedPageBreak/>
              <w:t>пропозиції, зміст якого відповідає вимогам, визначеним замовником у тендерній документації. </w:t>
            </w:r>
          </w:p>
          <w:p w14:paraId="633FBFDE" w14:textId="77777777" w:rsidR="00F9641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FB09AD1" w14:textId="77777777" w:rsidR="00F9641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552FFE5E" w14:textId="77777777" w:rsidR="00F9641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Pr>
                <w:rFonts w:ascii="Times New Roman" w:eastAsia="Times New Roman" w:hAnsi="Times New Roman" w:cs="Times New Roman"/>
                <w:sz w:val="24"/>
                <w:szCs w:val="24"/>
              </w:rPr>
              <w:t>або удосконалений електронний підпис</w:t>
            </w:r>
            <w:r>
              <w:rPr>
                <w:rFonts w:ascii="Times New Roman" w:eastAsia="Times New Roman" w:hAnsi="Times New Roman" w:cs="Times New Roman"/>
                <w:color w:val="000000"/>
                <w:sz w:val="24"/>
                <w:szCs w:val="24"/>
              </w:rPr>
              <w:t>. </w:t>
            </w:r>
          </w:p>
          <w:p w14:paraId="2D3E5010" w14:textId="77777777" w:rsidR="00F9641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A924F94" w14:textId="77777777" w:rsidR="00F9641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A03AB78" w14:textId="77777777" w:rsidR="00F9641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29D5F81B" w14:textId="77777777" w:rsidR="00F9641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109BF1AA" w14:textId="77777777" w:rsidR="00F9641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4992AFAB" w14:textId="77777777" w:rsidR="00F9641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B6A13B5" w14:textId="77777777" w:rsidR="00F96418" w:rsidRDefault="00000000">
            <w:pP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Приклади  формальних (несуттєвих) помилок, допущення яких учасниками не призведе до відхилення їх тендерних пропозицій:</w:t>
            </w:r>
          </w:p>
          <w:p w14:paraId="4F82BF66" w14:textId="77777777" w:rsidR="00F96418" w:rsidRDefault="00000000">
            <w:pPr>
              <w:numPr>
                <w:ilvl w:val="0"/>
                <w:numId w:val="19"/>
              </w:numP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«вінницька область» замість «Вінницька область» або «місто </w:t>
            </w:r>
            <w:proofErr w:type="spellStart"/>
            <w:r>
              <w:rPr>
                <w:rFonts w:ascii="Times New Roman" w:eastAsia="Times New Roman" w:hAnsi="Times New Roman" w:cs="Times New Roman"/>
                <w:color w:val="000000"/>
                <w:sz w:val="24"/>
                <w:szCs w:val="24"/>
              </w:rPr>
              <w:t>львів</w:t>
            </w:r>
            <w:proofErr w:type="spellEnd"/>
            <w:r>
              <w:rPr>
                <w:rFonts w:ascii="Times New Roman" w:eastAsia="Times New Roman" w:hAnsi="Times New Roman" w:cs="Times New Roman"/>
                <w:color w:val="000000"/>
                <w:sz w:val="24"/>
                <w:szCs w:val="24"/>
              </w:rPr>
              <w:t>» замість «місто Львів»; </w:t>
            </w:r>
          </w:p>
          <w:p w14:paraId="65F5922E" w14:textId="77777777" w:rsidR="00F96418" w:rsidRDefault="00000000">
            <w:pPr>
              <w:numPr>
                <w:ilvl w:val="0"/>
                <w:numId w:val="19"/>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 складі тендерна пропозиція» замість «у складі тендерної пропозиції»;</w:t>
            </w:r>
          </w:p>
          <w:p w14:paraId="18F5DEA8" w14:textId="77777777" w:rsidR="00F96418" w:rsidRDefault="00000000">
            <w:pPr>
              <w:numPr>
                <w:ilvl w:val="0"/>
                <w:numId w:val="19"/>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B6B94BF" w14:textId="77777777" w:rsidR="00F96418" w:rsidRDefault="00000000">
            <w:pPr>
              <w:numPr>
                <w:ilvl w:val="0"/>
                <w:numId w:val="19"/>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тендернапропозиція</w:t>
            </w:r>
            <w:proofErr w:type="spellEnd"/>
            <w:r>
              <w:rPr>
                <w:rFonts w:ascii="Times New Roman" w:eastAsia="Times New Roman" w:hAnsi="Times New Roman" w:cs="Times New Roman"/>
                <w:color w:val="000000"/>
                <w:sz w:val="24"/>
                <w:szCs w:val="24"/>
              </w:rPr>
              <w:t>» замість «тендерна пропозиція»;</w:t>
            </w:r>
          </w:p>
          <w:p w14:paraId="59362253" w14:textId="77777777" w:rsidR="00F96418" w:rsidRDefault="00000000">
            <w:pPr>
              <w:numPr>
                <w:ilvl w:val="0"/>
                <w:numId w:val="19"/>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срток</w:t>
            </w:r>
            <w:proofErr w:type="spellEnd"/>
            <w:r>
              <w:rPr>
                <w:rFonts w:ascii="Times New Roman" w:eastAsia="Times New Roman" w:hAnsi="Times New Roman" w:cs="Times New Roman"/>
                <w:color w:val="000000"/>
                <w:sz w:val="24"/>
                <w:szCs w:val="24"/>
              </w:rPr>
              <w:t xml:space="preserve"> поставки» замість «строк поставки»;</w:t>
            </w:r>
          </w:p>
          <w:p w14:paraId="0CCFBA2C" w14:textId="77777777" w:rsidR="00F96418" w:rsidRDefault="00000000">
            <w:pPr>
              <w:numPr>
                <w:ilvl w:val="0"/>
                <w:numId w:val="19"/>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14:paraId="1825F2AB" w14:textId="77777777" w:rsidR="00F96418" w:rsidRDefault="00000000">
            <w:pPr>
              <w:numPr>
                <w:ilvl w:val="0"/>
                <w:numId w:val="19"/>
              </w:num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подання документа у форматі  «PDF» замість «JPEG», «JPEG» замість «PDF», «RAR» замість «PDF», «7z» замість «PDF» тощо.</w:t>
            </w:r>
          </w:p>
        </w:tc>
      </w:tr>
      <w:tr w:rsidR="00F96418" w14:paraId="43319C12"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0F09B95" w14:textId="77777777" w:rsidR="00F96418"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98D684B" w14:textId="77777777" w:rsidR="00F96418"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Забезпечення тендерної пропозиції</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0E6C276" w14:textId="77777777" w:rsidR="00F9641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та умови до забезпечення тендерної пропозиції зазначаються у відповідності до Закону, Вимог до забезпечення тендерної пропозиції/пропозиції, затверджених наказом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пропозиції/пропозиції» (далі - Вимоги), форми забезпечення тендерної пропозиції/пропозиції, затверджених наказом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пропозиції/пропозиції» (далі - Форма), з урахуванням Особливостей.</w:t>
            </w:r>
          </w:p>
          <w:p w14:paraId="0FBF1212" w14:textId="77777777" w:rsidR="00F9641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Розмір забезпечення тендерної пропозиції: </w:t>
            </w:r>
            <w:r>
              <w:rPr>
                <w:rFonts w:ascii="Times New Roman" w:eastAsia="Times New Roman" w:hAnsi="Times New Roman" w:cs="Times New Roman"/>
                <w:b/>
                <w:sz w:val="24"/>
                <w:szCs w:val="24"/>
              </w:rPr>
              <w:t>8000,00</w:t>
            </w:r>
            <w:r>
              <w:rPr>
                <w:rFonts w:ascii="Times New Roman" w:eastAsia="Times New Roman" w:hAnsi="Times New Roman" w:cs="Times New Roman"/>
                <w:sz w:val="24"/>
                <w:szCs w:val="24"/>
              </w:rPr>
              <w:t xml:space="preserve"> грн.</w:t>
            </w:r>
          </w:p>
          <w:p w14:paraId="3024F0EA" w14:textId="77777777" w:rsidR="00F9641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 забезпечення тендерної пропозиції: електронна</w:t>
            </w:r>
            <w:r>
              <w:rPr>
                <w:rFonts w:ascii="Times New Roman" w:eastAsia="Times New Roman" w:hAnsi="Times New Roman" w:cs="Times New Roman"/>
                <w:color w:val="454545"/>
                <w:sz w:val="24"/>
                <w:szCs w:val="24"/>
              </w:rPr>
              <w:t xml:space="preserve"> </w:t>
            </w:r>
            <w:r>
              <w:rPr>
                <w:rFonts w:ascii="Times New Roman" w:eastAsia="Times New Roman" w:hAnsi="Times New Roman" w:cs="Times New Roman"/>
                <w:sz w:val="24"/>
                <w:szCs w:val="24"/>
              </w:rPr>
              <w:t>банківська гарантія.</w:t>
            </w:r>
          </w:p>
          <w:p w14:paraId="143B1993" w14:textId="77777777" w:rsidR="00F9641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перевищувати строк дії тендерної пропозиції.</w:t>
            </w:r>
          </w:p>
          <w:p w14:paraId="3A50EAB4" w14:textId="77777777" w:rsidR="00F9641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Банківська гарантія повинна бути оформлена з повним грошовим покриттям на весь строк дії такої гарантії. На підтвердження наявності грошового покриття, надається довідка з банку про залишок коштів на рахунку покриття, виданої Банком-гарантом, завіреної печаткою Банку-гаранта та підписом уповноваженої особи такого Банку-гаранта із надання підтвердження повноважень такої Уповноваженої особи від Банку-гаранта.</w:t>
            </w:r>
          </w:p>
          <w:p w14:paraId="4D48CE1C" w14:textId="77777777" w:rsidR="00F9641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(далі - гарант).</w:t>
            </w:r>
          </w:p>
          <w:p w14:paraId="7D17F663" w14:textId="77777777" w:rsidR="00F9641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w:t>
            </w:r>
          </w:p>
          <w:p w14:paraId="1B543B96" w14:textId="77777777" w:rsidR="00F9641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Реквізити гарантії, визначені у Формі, є обов'язковими для складання гарантії.</w:t>
            </w:r>
          </w:p>
          <w:p w14:paraId="097EBAA5" w14:textId="77777777" w:rsidR="00F9641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 реквізитах гарантії:</w:t>
            </w:r>
          </w:p>
          <w:p w14:paraId="5DCAF48D" w14:textId="77777777" w:rsidR="00F9641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щодо повного найменування гаранта зазначається інформація:</w:t>
            </w:r>
          </w:p>
          <w:p w14:paraId="4E14B04B" w14:textId="77777777" w:rsidR="00F9641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w:t>
            </w:r>
          </w:p>
          <w:p w14:paraId="0ABC1CBE" w14:textId="77777777" w:rsidR="00F9641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код банку (у разі наявності);</w:t>
            </w:r>
          </w:p>
          <w:p w14:paraId="6DA76349" w14:textId="77777777" w:rsidR="00F9641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поштова адреса для листування;</w:t>
            </w:r>
          </w:p>
          <w:p w14:paraId="4998E58C" w14:textId="77777777" w:rsidR="00F9641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електронної пошти гаранта, на яку отримуються документи;</w:t>
            </w:r>
          </w:p>
          <w:p w14:paraId="09AB19C8" w14:textId="77777777" w:rsidR="00F9641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SWIFT-адреса гаранта;</w:t>
            </w:r>
          </w:p>
          <w:p w14:paraId="0408D30B" w14:textId="77777777" w:rsidR="00F9641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w:t>
            </w:r>
          </w:p>
          <w:p w14:paraId="6195081D" w14:textId="77777777" w:rsidR="00F9641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 для юридичної особи;</w:t>
            </w:r>
          </w:p>
          <w:p w14:paraId="2D652670" w14:textId="77777777" w:rsidR="00F9641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прізвище, ім'я та по батькові (у разі наявності) - для фізичної особи;</w:t>
            </w:r>
          </w:p>
          <w:p w14:paraId="1C8071BA" w14:textId="77777777" w:rsidR="00F9641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w:t>
            </w:r>
          </w:p>
          <w:p w14:paraId="0697BAA6" w14:textId="77777777" w:rsidR="00F9641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w:t>
            </w:r>
          </w:p>
          <w:p w14:paraId="05E03020" w14:textId="77777777" w:rsidR="00F9641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14:paraId="04A2E97C" w14:textId="77777777" w:rsidR="00F9641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w:t>
            </w:r>
          </w:p>
          <w:p w14:paraId="78E3F3D0" w14:textId="77777777" w:rsidR="00F9641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щодо повного найменування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яким є замовник, зазначається інформація:</w:t>
            </w:r>
          </w:p>
          <w:p w14:paraId="5C0D747D" w14:textId="77777777" w:rsidR="00F9641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w:t>
            </w:r>
          </w:p>
          <w:p w14:paraId="0B3AB80E" w14:textId="77777777" w:rsidR="00F9641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w:t>
            </w:r>
          </w:p>
          <w:p w14:paraId="66B39FFD" w14:textId="77777777" w:rsidR="00F9641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сума гарантії зазначається цифрами і словами, назва валюти - словами;</w:t>
            </w:r>
          </w:p>
          <w:p w14:paraId="140DA1E0" w14:textId="77777777" w:rsidR="00F9641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w:t>
            </w:r>
          </w:p>
          <w:p w14:paraId="6A07D69B" w14:textId="77777777" w:rsidR="00F9641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w:t>
            </w:r>
          </w:p>
          <w:p w14:paraId="49C0D60B" w14:textId="77777777" w:rsidR="00F9641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w:t>
            </w:r>
          </w:p>
          <w:p w14:paraId="05E046C1" w14:textId="77777777" w:rsidR="00F9641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форматі UA-XXXX-XX-XX-XXXXXX-X та назва і </w:t>
            </w:r>
            <w:proofErr w:type="spellStart"/>
            <w:r>
              <w:rPr>
                <w:rFonts w:ascii="Times New Roman" w:eastAsia="Times New Roman" w:hAnsi="Times New Roman" w:cs="Times New Roman"/>
                <w:sz w:val="24"/>
                <w:szCs w:val="24"/>
              </w:rPr>
              <w:t>вебсайта</w:t>
            </w:r>
            <w:proofErr w:type="spellEnd"/>
            <w:r>
              <w:rPr>
                <w:rFonts w:ascii="Times New Roman" w:eastAsia="Times New Roman" w:hAnsi="Times New Roman" w:cs="Times New Roman"/>
                <w:sz w:val="24"/>
                <w:szCs w:val="24"/>
              </w:rPr>
              <w:t xml:space="preserve"> інформаційно-телекомунікаційної системи «PROZORRO»;</w:t>
            </w:r>
          </w:p>
          <w:p w14:paraId="08071D07" w14:textId="77777777" w:rsidR="00F9641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в інформації щодо тендерної документації зазначаються:</w:t>
            </w:r>
          </w:p>
          <w:p w14:paraId="13F150E4" w14:textId="77777777" w:rsidR="00F9641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дата рішення замовника, яким затверджена тендерна документація;</w:t>
            </w:r>
          </w:p>
          <w:p w14:paraId="2BB8E8E9" w14:textId="77777777" w:rsidR="00F9641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w:t>
            </w:r>
          </w:p>
          <w:p w14:paraId="6FCC0151" w14:textId="77777777" w:rsidR="00F9641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строк сплати коштів за гарантією зазначається в робочих або банківських днях;</w:t>
            </w:r>
          </w:p>
          <w:p w14:paraId="005B75FE" w14:textId="77777777" w:rsidR="00F9641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w:t>
            </w:r>
          </w:p>
          <w:p w14:paraId="4FCA4499" w14:textId="77777777" w:rsidR="00F9641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14:paraId="1DB68BAF" w14:textId="77777777" w:rsidR="00F9641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вимог надання третіми особами листів або документів, що підтверджують факт настання гарантійного випадку;</w:t>
            </w:r>
          </w:p>
          <w:p w14:paraId="7F19823A" w14:textId="77777777" w:rsidR="00F9641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можливості часткової сплати суми гарантії.</w:t>
            </w:r>
          </w:p>
          <w:p w14:paraId="10A5DA1E" w14:textId="77777777" w:rsidR="00F9641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Гарантія, яка складається на паперовому носії, підписується уповноваженою(</w:t>
            </w:r>
            <w:proofErr w:type="spellStart"/>
            <w:r>
              <w:rPr>
                <w:rFonts w:ascii="Times New Roman" w:eastAsia="Times New Roman" w:hAnsi="Times New Roman" w:cs="Times New Roman"/>
                <w:sz w:val="24"/>
                <w:szCs w:val="24"/>
              </w:rPr>
              <w:t>ими</w:t>
            </w:r>
            <w:proofErr w:type="spellEnd"/>
            <w:r>
              <w:rPr>
                <w:rFonts w:ascii="Times New Roman" w:eastAsia="Times New Roman" w:hAnsi="Times New Roman" w:cs="Times New Roman"/>
                <w:sz w:val="24"/>
                <w:szCs w:val="24"/>
              </w:rPr>
              <w:t>) особою(</w:t>
            </w:r>
            <w:proofErr w:type="spellStart"/>
            <w:r>
              <w:rPr>
                <w:rFonts w:ascii="Times New Roman" w:eastAsia="Times New Roman" w:hAnsi="Times New Roman" w:cs="Times New Roman"/>
                <w:sz w:val="24"/>
                <w:szCs w:val="24"/>
              </w:rPr>
              <w:t>ами</w:t>
            </w:r>
            <w:proofErr w:type="spellEnd"/>
            <w:r>
              <w:rPr>
                <w:rFonts w:ascii="Times New Roman" w:eastAsia="Times New Roman" w:hAnsi="Times New Roman" w:cs="Times New Roman"/>
                <w:sz w:val="24"/>
                <w:szCs w:val="24"/>
              </w:rPr>
              <w:t>) гаранта та скріплюється печатками (у разі наявності) *.</w:t>
            </w:r>
          </w:p>
          <w:p w14:paraId="45AD6BDE" w14:textId="77777777" w:rsidR="00F9641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електронного(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уповноваженої(</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особи(</w:t>
            </w:r>
            <w:proofErr w:type="spellStart"/>
            <w:r>
              <w:rPr>
                <w:rFonts w:ascii="Times New Roman" w:eastAsia="Times New Roman" w:hAnsi="Times New Roman" w:cs="Times New Roman"/>
                <w:sz w:val="24"/>
                <w:szCs w:val="24"/>
              </w:rPr>
              <w:t>іб</w:t>
            </w:r>
            <w:proofErr w:type="spellEnd"/>
            <w:r>
              <w:rPr>
                <w:rFonts w:ascii="Times New Roman" w:eastAsia="Times New Roman" w:hAnsi="Times New Roman" w:cs="Times New Roman"/>
                <w:sz w:val="24"/>
                <w:szCs w:val="24"/>
              </w:rPr>
              <w:t>) гаранта та його печатки відповідно.</w:t>
            </w:r>
          </w:p>
          <w:p w14:paraId="290FFB9E" w14:textId="77777777" w:rsidR="00F9641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65349950" w14:textId="77777777" w:rsidR="00F96418" w:rsidRDefault="00000000">
            <w:pPr>
              <w:spacing w:before="240"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*даний пункт виконується у випадку встановлення вимоги щодо надання гарантії на паперовому носії.</w:t>
            </w:r>
          </w:p>
          <w:p w14:paraId="2DEA85C1" w14:textId="77777777" w:rsidR="00F96418" w:rsidRDefault="00000000">
            <w:pPr>
              <w:spacing w:before="240"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**Під терміном «категорія </w:t>
            </w:r>
            <w:proofErr w:type="spellStart"/>
            <w:r>
              <w:rPr>
                <w:rFonts w:ascii="Times New Roman" w:eastAsia="Times New Roman" w:hAnsi="Times New Roman" w:cs="Times New Roman"/>
                <w:i/>
                <w:sz w:val="24"/>
                <w:szCs w:val="24"/>
              </w:rPr>
              <w:t>бенефіціара</w:t>
            </w:r>
            <w:proofErr w:type="spellEnd"/>
            <w:r>
              <w:rPr>
                <w:rFonts w:ascii="Times New Roman" w:eastAsia="Times New Roman" w:hAnsi="Times New Roman" w:cs="Times New Roman"/>
                <w:i/>
                <w:sz w:val="24"/>
                <w:szCs w:val="24"/>
              </w:rPr>
              <w:t>» мається на увазі категорія замовника відповідно до частини 4 статті 2 Закону України «Про публічні закупівлі».</w:t>
            </w:r>
          </w:p>
          <w:p w14:paraId="191A01FA" w14:textId="77777777" w:rsidR="00F9641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Банківська гарантія повинна бути видана банком-гарантом на умовах грошового забезпечення (покриття).</w:t>
            </w:r>
          </w:p>
          <w:p w14:paraId="15CA8487" w14:textId="77777777" w:rsidR="00F96418" w:rsidRDefault="00000000">
            <w:pPr>
              <w:spacing w:before="240" w:after="0" w:line="240" w:lineRule="auto"/>
              <w:ind w:firstLine="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Банківська гарантія оформляється в банку, який має ліцензію Національного банку України.</w:t>
            </w:r>
          </w:p>
          <w:p w14:paraId="154AE512" w14:textId="77777777" w:rsidR="00F9641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Банківська гарантія повинна бути надана банком, який не включений до переліку юридичних осіб, щодо яких державними органами України, США або країн ЄС застосовано санкції, спеціальні економічні чи інші обмежувальні заходи (санкції).</w:t>
            </w:r>
          </w:p>
          <w:p w14:paraId="75429597" w14:textId="77777777" w:rsidR="00F96418" w:rsidRDefault="00000000">
            <w:pPr>
              <w:spacing w:after="0"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Разом з оригіналом банківської гарантії учасник надає у складі пропозиції копію документа (документів), які відповідно до законодавства підтверджують повноваження посадової особи банку-гаранта, підписувати (видавати за власним підписом) гарантії від імені банку (засвідчену кваліфікованим електронним підписом уповноваженої особи банку-гаранта),  довідку з банку, що підтверджує наявність (внесення) грошового покриття по наданій гарантії.</w:t>
            </w:r>
          </w:p>
          <w:p w14:paraId="1671A896" w14:textId="77777777" w:rsidR="00F9641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Реквізити Замовника:</w:t>
            </w:r>
          </w:p>
          <w:p w14:paraId="215D372B" w14:textId="77777777" w:rsidR="00F9641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 житлово-комунального господарства Харківської міської ради</w:t>
            </w:r>
          </w:p>
          <w:p w14:paraId="101A3AB3" w14:textId="77777777" w:rsidR="00F9641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43927048</w:t>
            </w:r>
          </w:p>
          <w:p w14:paraId="594AA2D8" w14:textId="77777777" w:rsidR="00F9641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UA838201720355119008000113955</w:t>
            </w:r>
          </w:p>
          <w:p w14:paraId="1F560CB1" w14:textId="77777777" w:rsidR="00F96418" w:rsidRDefault="00000000">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Держказначейська</w:t>
            </w:r>
            <w:proofErr w:type="spellEnd"/>
            <w:r>
              <w:rPr>
                <w:rFonts w:ascii="Times New Roman" w:eastAsia="Times New Roman" w:hAnsi="Times New Roman" w:cs="Times New Roman"/>
                <w:sz w:val="24"/>
                <w:szCs w:val="24"/>
              </w:rPr>
              <w:t xml:space="preserve"> служба України, м. Київ</w:t>
            </w:r>
          </w:p>
        </w:tc>
      </w:tr>
      <w:tr w:rsidR="00F96418" w14:paraId="47B64826"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13D3A1A" w14:textId="77777777" w:rsidR="00F96418"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4EACFF1" w14:textId="77777777" w:rsidR="00F96418"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006" w:type="dxa"/>
            <w:tcBorders>
              <w:top w:val="single" w:sz="5" w:space="0" w:color="000000"/>
              <w:left w:val="single" w:sz="5" w:space="0" w:color="000000"/>
              <w:bottom w:val="single" w:sz="5" w:space="0" w:color="000000"/>
              <w:right w:val="single" w:sz="5" w:space="0" w:color="000000"/>
            </w:tcBorders>
            <w:shd w:val="clear" w:color="auto" w:fill="FFFFFF"/>
            <w:tcMar>
              <w:top w:w="40" w:type="dxa"/>
              <w:left w:w="40" w:type="dxa"/>
              <w:bottom w:w="40" w:type="dxa"/>
              <w:right w:w="40" w:type="dxa"/>
            </w:tcMar>
          </w:tcPr>
          <w:p w14:paraId="3F37F185" w14:textId="77777777" w:rsidR="00F9641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повертається учаснику у разі:</w:t>
            </w:r>
          </w:p>
          <w:p w14:paraId="60395228" w14:textId="77777777" w:rsidR="00F9641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закінчення строку дії тендерної пропозиції та забезпечення тендерної пропозиції, зазначеного в тендерній документації;</w:t>
            </w:r>
          </w:p>
          <w:p w14:paraId="1211B661" w14:textId="77777777" w:rsidR="00F9641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укладення договору про закупівлю з учасником, який став переможцем процедури закупівлі;</w:t>
            </w:r>
          </w:p>
          <w:p w14:paraId="4C8E65A7" w14:textId="77777777" w:rsidR="00F9641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відкликання тендерної пропозиції до закінчення строку її подання;</w:t>
            </w:r>
          </w:p>
          <w:p w14:paraId="0DDE9D46" w14:textId="77777777" w:rsidR="00F9641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закінчення тендеру в разі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14:paraId="30444598" w14:textId="77777777" w:rsidR="00F9641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повертається у разі:</w:t>
            </w:r>
          </w:p>
          <w:p w14:paraId="462EB6C7" w14:textId="77777777" w:rsidR="00F9641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0926D2FA" w14:textId="77777777" w:rsidR="00F9641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договору про закупівлю учасником, який став переможцем тендеру;</w:t>
            </w:r>
          </w:p>
          <w:p w14:paraId="31787CC4" w14:textId="77777777" w:rsidR="00F9641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ненадання переможцем процедури закупівлі у строк, визначений частиною шостою статті 17 Закону, документів, що підтверджують відсутність підстав, встановлених статтею 17 Закону (зазначена підстава застосовується з урахуванням Особливостей;</w:t>
            </w:r>
          </w:p>
          <w:p w14:paraId="76572AAA" w14:textId="77777777" w:rsidR="00F9641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090CB632" w14:textId="77777777" w:rsidR="00F9641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F96418" w14:paraId="629F76C8" w14:textId="77777777">
        <w:trPr>
          <w:trHeight w:val="5989"/>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6FAA52F" w14:textId="77777777" w:rsidR="00F96418"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89FCB93" w14:textId="77777777" w:rsidR="00F96418"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 протягом якого тендерні пропозиції є дійсними</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5519587" w14:textId="77777777" w:rsidR="00F96418"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вважаються дійсними протягом 90 календарних днів із дати кінцевого строку подання тендерних пропозицій. </w:t>
            </w:r>
          </w:p>
          <w:p w14:paraId="15E22EB1" w14:textId="77777777" w:rsidR="00F96418"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125FD31" w14:textId="77777777" w:rsidR="00F96418"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 (</w:t>
            </w:r>
            <w:hyperlink r:id="rId7" w:anchor="w1_7">
              <w:r>
                <w:rPr>
                  <w:rFonts w:ascii="Times New Roman" w:eastAsia="Times New Roman" w:hAnsi="Times New Roman" w:cs="Times New Roman"/>
                  <w:sz w:val="24"/>
                  <w:szCs w:val="24"/>
                </w:rPr>
                <w:t>якщо</w:t>
              </w:r>
            </w:hyperlink>
            <w:r>
              <w:rPr>
                <w:rFonts w:ascii="Times New Roman" w:eastAsia="Times New Roman" w:hAnsi="Times New Roman" w:cs="Times New Roman"/>
                <w:sz w:val="24"/>
                <w:szCs w:val="24"/>
              </w:rPr>
              <w:t xml:space="preserve"> </w:t>
            </w:r>
            <w:hyperlink r:id="rId8" w:anchor="w2_7">
              <w:r>
                <w:rPr>
                  <w:rFonts w:ascii="Times New Roman" w:eastAsia="Times New Roman" w:hAnsi="Times New Roman" w:cs="Times New Roman"/>
                  <w:sz w:val="24"/>
                  <w:szCs w:val="24"/>
                </w:rPr>
                <w:t>таке</w:t>
              </w:r>
            </w:hyperlink>
            <w:r>
              <w:rPr>
                <w:rFonts w:ascii="Times New Roman" w:eastAsia="Times New Roman" w:hAnsi="Times New Roman" w:cs="Times New Roman"/>
                <w:sz w:val="24"/>
                <w:szCs w:val="24"/>
              </w:rPr>
              <w:t xml:space="preserve"> забезпечення вимагається);</w:t>
            </w:r>
          </w:p>
          <w:p w14:paraId="496EFFD1" w14:textId="77777777" w:rsidR="00F96418"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w:t>
            </w:r>
            <w:hyperlink r:id="rId9" w:anchor="w1_7">
              <w:r>
                <w:rPr>
                  <w:rFonts w:ascii="Times New Roman" w:eastAsia="Times New Roman" w:hAnsi="Times New Roman" w:cs="Times New Roman"/>
                  <w:sz w:val="24"/>
                  <w:szCs w:val="24"/>
                </w:rPr>
                <w:t>якщо</w:t>
              </w:r>
            </w:hyperlink>
            <w:r>
              <w:rPr>
                <w:rFonts w:ascii="Times New Roman" w:eastAsia="Times New Roman" w:hAnsi="Times New Roman" w:cs="Times New Roman"/>
                <w:sz w:val="24"/>
                <w:szCs w:val="24"/>
              </w:rPr>
              <w:t xml:space="preserve"> </w:t>
            </w:r>
            <w:hyperlink r:id="rId10" w:anchor="w2_7">
              <w:r>
                <w:rPr>
                  <w:rFonts w:ascii="Times New Roman" w:eastAsia="Times New Roman" w:hAnsi="Times New Roman" w:cs="Times New Roman"/>
                  <w:sz w:val="24"/>
                  <w:szCs w:val="24"/>
                </w:rPr>
                <w:t>таке</w:t>
              </w:r>
            </w:hyperlink>
            <w:r>
              <w:rPr>
                <w:rFonts w:ascii="Times New Roman" w:eastAsia="Times New Roman" w:hAnsi="Times New Roman" w:cs="Times New Roman"/>
                <w:sz w:val="24"/>
                <w:szCs w:val="24"/>
              </w:rPr>
              <w:t xml:space="preserve"> забезпечення вимагається).</w:t>
            </w:r>
          </w:p>
          <w:p w14:paraId="4258C58C" w14:textId="77777777" w:rsidR="00F96418"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F96418" w14:paraId="475A2676"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A9CB837" w14:textId="77777777" w:rsidR="00F96418"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953DC7E" w14:textId="77777777" w:rsidR="00F96418"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Кваліфікаційні критерії до учасників та вимоги, встановлені пунктом 4</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Особливостей</w:t>
            </w:r>
          </w:p>
        </w:tc>
        <w:tc>
          <w:tcPr>
            <w:tcW w:w="6006"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tcPr>
          <w:p w14:paraId="713E7E53" w14:textId="77777777" w:rsidR="00F96418"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та інформація про спосіб їх підтвердження викладені у Додатку № 1 до тендерної документації.</w:t>
            </w:r>
          </w:p>
          <w:p w14:paraId="05812AF8" w14:textId="77777777" w:rsidR="00F96418"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Підстави для відмови в участі у відкритих торгах встановлені пунктом 47 Особливостей. Спосіб підтвердження відсутності підстав для відхилення учасників викладений у Додатку № 2 до тендерної документації.</w:t>
            </w:r>
          </w:p>
        </w:tc>
      </w:tr>
      <w:tr w:rsidR="00F96418" w14:paraId="26F67290"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88269D0" w14:textId="77777777" w:rsidR="00F96418"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E222E72" w14:textId="77777777" w:rsidR="00F96418"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w:t>
            </w:r>
            <w:r>
              <w:rPr>
                <w:rFonts w:ascii="Times New Roman" w:eastAsia="Times New Roman" w:hAnsi="Times New Roman" w:cs="Times New Roman"/>
                <w:sz w:val="24"/>
                <w:szCs w:val="24"/>
              </w:rPr>
              <w:t>упівлі та технічна специфікація до предмета закупівлі</w:t>
            </w:r>
          </w:p>
        </w:tc>
        <w:tc>
          <w:tcPr>
            <w:tcW w:w="6006"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tcPr>
          <w:p w14:paraId="305CBC1C" w14:textId="77777777" w:rsidR="00F96418" w:rsidRDefault="00000000">
            <w:pP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 </w:t>
            </w:r>
            <w:r>
              <w:rPr>
                <w:rFonts w:ascii="Times New Roman" w:eastAsia="Times New Roman" w:hAnsi="Times New Roman" w:cs="Times New Roman"/>
                <w:sz w:val="24"/>
                <w:szCs w:val="24"/>
              </w:rPr>
              <w:t>до тендерної документації</w:t>
            </w:r>
            <w:r>
              <w:rPr>
                <w:rFonts w:ascii="Times New Roman" w:eastAsia="Times New Roman" w:hAnsi="Times New Roman" w:cs="Times New Roman"/>
                <w:color w:val="000000"/>
                <w:sz w:val="24"/>
                <w:szCs w:val="24"/>
              </w:rPr>
              <w:t>.</w:t>
            </w:r>
          </w:p>
          <w:p w14:paraId="70A938D7" w14:textId="77777777" w:rsidR="00F96418" w:rsidRDefault="00F96418">
            <w:pPr>
              <w:spacing w:before="150" w:after="150" w:line="240" w:lineRule="auto"/>
              <w:jc w:val="both"/>
              <w:rPr>
                <w:rFonts w:ascii="Times New Roman" w:eastAsia="Times New Roman" w:hAnsi="Times New Roman" w:cs="Times New Roman"/>
                <w:color w:val="000000"/>
                <w:sz w:val="24"/>
                <w:szCs w:val="24"/>
              </w:rPr>
            </w:pPr>
          </w:p>
        </w:tc>
      </w:tr>
      <w:tr w:rsidR="00F96418" w14:paraId="71AD740D" w14:textId="77777777">
        <w:trPr>
          <w:trHeight w:val="2022"/>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795CBDD" w14:textId="77777777" w:rsidR="00F96418"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8BAB70D" w14:textId="77777777" w:rsidR="00F96418"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Інформація про субпідрядника / </w:t>
            </w:r>
            <w:r>
              <w:rPr>
                <w:rFonts w:ascii="Times New Roman" w:eastAsia="Times New Roman" w:hAnsi="Times New Roman" w:cs="Times New Roman"/>
                <w:sz w:val="24"/>
                <w:szCs w:val="24"/>
              </w:rPr>
              <w:t>співвиконавця</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E0D386E" w14:textId="77777777" w:rsidR="00F96418" w:rsidRDefault="00000000">
            <w:pPr>
              <w:spacing w:after="0" w:line="240" w:lineRule="auto"/>
              <w:ind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Якщо учасник процедури закупівлі має намір залучити суб’єкта господарювання до надання послуг як співвиконавця або виконання робіт як субпідрядника (далі - суб’єкт господарювання) в обсязі не менше ніж 20 відсотків від вартості договору про закупівлю у випадку закупівлі робіт або послуг, в такому разі, Учасник:</w:t>
            </w:r>
          </w:p>
          <w:p w14:paraId="7C3A8B1B" w14:textId="77777777" w:rsidR="00F96418" w:rsidRDefault="00000000">
            <w:pPr>
              <w:pBdr>
                <w:top w:val="nil"/>
                <w:left w:val="nil"/>
                <w:bottom w:val="nil"/>
                <w:right w:val="nil"/>
                <w:between w:val="nil"/>
              </w:pBdr>
              <w:spacing w:after="0" w:line="240" w:lineRule="auto"/>
              <w:ind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повинен надати в довільній формі інформаційну довідку щодо кожного суб’єкта господарювання, в якій зазначає повне найменування,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та місцезнаходження;</w:t>
            </w:r>
          </w:p>
          <w:p w14:paraId="6CF77F05" w14:textId="77777777" w:rsidR="00F96418" w:rsidRDefault="00000000">
            <w:pPr>
              <w:pBdr>
                <w:top w:val="nil"/>
                <w:left w:val="nil"/>
                <w:bottom w:val="nil"/>
                <w:right w:val="nil"/>
                <w:between w:val="nil"/>
              </w:pBdr>
              <w:spacing w:after="0" w:line="240" w:lineRule="auto"/>
              <w:ind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під час подання тендерної пропозиції заповнює окреме текстове поле електронної форми, де зазначається повне найменування та місцезнаходження суб’єкта господарювання.</w:t>
            </w:r>
          </w:p>
          <w:p w14:paraId="6DD0D887" w14:textId="77777777" w:rsidR="00F96418" w:rsidRDefault="00F96418">
            <w:pPr>
              <w:spacing w:after="0" w:line="240" w:lineRule="auto"/>
              <w:ind w:right="80"/>
              <w:jc w:val="both"/>
              <w:rPr>
                <w:rFonts w:ascii="Times New Roman" w:eastAsia="Times New Roman" w:hAnsi="Times New Roman" w:cs="Times New Roman"/>
                <w:sz w:val="24"/>
                <w:szCs w:val="24"/>
              </w:rPr>
            </w:pPr>
          </w:p>
          <w:p w14:paraId="000F9AAC" w14:textId="77777777" w:rsidR="00F96418" w:rsidRDefault="00000000">
            <w:pPr>
              <w:spacing w:after="0" w:line="240" w:lineRule="auto"/>
              <w:ind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щодо відсутності підстав, визначених у пункті 47 Особливостей, для цього учасник надає щодо кожного такого суб’єкта господарювання інформацію про відсутність підстав визначених у пункті 47 Особливостей у довільній формі.</w:t>
            </w:r>
          </w:p>
        </w:tc>
      </w:tr>
      <w:tr w:rsidR="00F96418" w14:paraId="4D906444"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64A0013" w14:textId="77777777" w:rsidR="00F96418"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8</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FF1A8FF" w14:textId="77777777" w:rsidR="00F96418"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Внесення змін або відкликання тендерної пропозиції учасником</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4ED4581" w14:textId="77777777" w:rsidR="00F9641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процедури закупівлі має право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до закінчення кінцевого строку подання тендерних пропозицій.</w:t>
            </w:r>
          </w:p>
        </w:tc>
      </w:tr>
      <w:tr w:rsidR="00F96418" w14:paraId="249A603B"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7636F07" w14:textId="77777777" w:rsidR="00F96418"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CA72FB6" w14:textId="77777777" w:rsidR="00F96418"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Ступінь</w:t>
            </w:r>
            <w:r>
              <w:rPr>
                <w:rFonts w:ascii="Times New Roman" w:eastAsia="Times New Roman" w:hAnsi="Times New Roman" w:cs="Times New Roman"/>
                <w:color w:val="000000"/>
                <w:sz w:val="24"/>
                <w:szCs w:val="24"/>
              </w:rPr>
              <w:t xml:space="preserve"> локалізації виробництва</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4DE66F5" w14:textId="77777777" w:rsidR="00F9641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застосовується </w:t>
            </w:r>
          </w:p>
          <w:p w14:paraId="532098FF" w14:textId="77777777" w:rsidR="00F96418" w:rsidRDefault="00F96418">
            <w:pPr>
              <w:spacing w:before="150" w:after="150" w:line="240" w:lineRule="auto"/>
              <w:jc w:val="both"/>
              <w:rPr>
                <w:rFonts w:ascii="Times New Roman" w:eastAsia="Times New Roman" w:hAnsi="Times New Roman" w:cs="Times New Roman"/>
                <w:sz w:val="24"/>
                <w:szCs w:val="24"/>
              </w:rPr>
            </w:pPr>
          </w:p>
        </w:tc>
      </w:tr>
      <w:tr w:rsidR="00F96418" w14:paraId="7CB0A600" w14:textId="77777777">
        <w:tc>
          <w:tcPr>
            <w:tcW w:w="99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16A78FF" w14:textId="77777777" w:rsidR="00F96418"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Подання та розкриття тендерної пропозиції</w:t>
            </w:r>
          </w:p>
        </w:tc>
      </w:tr>
      <w:tr w:rsidR="00F96418" w14:paraId="33AB3651"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FDD4643" w14:textId="77777777" w:rsidR="00F96418"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6DD405A" w14:textId="77777777" w:rsidR="00F96418"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Кінцевий строк подання тендерної пропозиції</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0FA5F29" w14:textId="77777777" w:rsidR="00F96418" w:rsidRDefault="00000000">
            <w:pP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01.05.2024 о 9:00</w:t>
            </w:r>
          </w:p>
          <w:p w14:paraId="50219703" w14:textId="77777777" w:rsidR="00F96418" w:rsidRDefault="00000000">
            <w:pP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tc>
      </w:tr>
      <w:tr w:rsidR="00F96418" w14:paraId="7E316C24"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A4F8E4D" w14:textId="77777777" w:rsidR="00F96418"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91307BF" w14:textId="77777777" w:rsidR="00F96418"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Дата та час розкриття тендерної пропозиції</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A1D1A2F" w14:textId="77777777" w:rsidR="00F96418" w:rsidRDefault="00000000">
            <w:pPr>
              <w:spacing w:after="0" w:line="240" w:lineRule="auto"/>
              <w:ind w:firstLine="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p>
          <w:p w14:paraId="698230D9" w14:textId="77777777" w:rsidR="00F96418" w:rsidRDefault="00000000">
            <w:pPr>
              <w:spacing w:after="0" w:line="240" w:lineRule="auto"/>
              <w:ind w:firstLine="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14:paraId="4298E261" w14:textId="77777777" w:rsidR="00F96418"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w:t>
            </w:r>
            <w:r>
              <w:rPr>
                <w:rFonts w:ascii="Times New Roman" w:eastAsia="Times New Roman" w:hAnsi="Times New Roman" w:cs="Times New Roman"/>
                <w:sz w:val="24"/>
                <w:szCs w:val="24"/>
              </w:rPr>
              <w:lastRenderedPageBreak/>
              <w:t>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F96418" w14:paraId="4FCA0A49" w14:textId="77777777">
        <w:tc>
          <w:tcPr>
            <w:tcW w:w="99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90E972A" w14:textId="77777777" w:rsidR="00F96418"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Оцінка тендерної пропозиції</w:t>
            </w:r>
          </w:p>
        </w:tc>
      </w:tr>
      <w:tr w:rsidR="00F96418" w14:paraId="73C1F36C"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4F97F2B" w14:textId="77777777" w:rsidR="00F96418"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29056A2" w14:textId="77777777" w:rsidR="00F96418"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Перелік критеріїв оцінки та методика оцінки тендерних пропозицій із зазначенням питомої ваги кожного критерію</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6585FAA" w14:textId="77777777" w:rsidR="00F9641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Єдиний критерій оцінки – Ціна – 100%.</w:t>
            </w:r>
          </w:p>
          <w:p w14:paraId="775ADC4A" w14:textId="77777777" w:rsidR="00F9641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F96418" w14:paraId="00F3DF00"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2A46FD7" w14:textId="77777777" w:rsidR="00F96418"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96383D1" w14:textId="77777777" w:rsidR="00F96418"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Інша інформація</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9C4B460" w14:textId="77777777" w:rsidR="00F96418"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складі тендерної пропозицію Учасник повинен надати наступні довідки:</w:t>
            </w:r>
          </w:p>
          <w:p w14:paraId="3A48C3B5" w14:textId="77777777" w:rsidR="00F96418" w:rsidRDefault="0000000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Інформаційну довідку у довільній формі, в якій повинен зазначи</w:t>
            </w:r>
            <w:r>
              <w:rPr>
                <w:rFonts w:ascii="Times New Roman" w:eastAsia="Times New Roman" w:hAnsi="Times New Roman" w:cs="Times New Roman"/>
                <w:sz w:val="24"/>
                <w:szCs w:val="24"/>
              </w:rPr>
              <w:t>ти наступні відомості: повна назва Учасника;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юридична адреса; фактична адреса; телефон, електронна адреса; тип с</w:t>
            </w:r>
            <w:r>
              <w:rPr>
                <w:rFonts w:ascii="Times New Roman" w:eastAsia="Times New Roman" w:hAnsi="Times New Roman" w:cs="Times New Roman"/>
                <w:color w:val="000000"/>
                <w:sz w:val="24"/>
                <w:szCs w:val="24"/>
              </w:rPr>
              <w:t>уб’єкта господарювання; обрана система оподаткування; основні види діяльності згідно КВЕД; відомості про керівника; найменування фінансової установи (банку) в якій Учасником відкрито рахунок; номер банківського рахунку, на який буде здійснюватися оплата за договором.</w:t>
            </w:r>
          </w:p>
          <w:p w14:paraId="1488C1C3" w14:textId="77777777" w:rsidR="00F96418"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xml:space="preserve">. Довідку, складену в довільній формі,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xml:space="preserve">. збирання, зберігання і поширення, включаючи оприлюднення на </w:t>
            </w:r>
            <w:proofErr w:type="spellStart"/>
            <w:r>
              <w:rPr>
                <w:rFonts w:ascii="Times New Roman" w:eastAsia="Times New Roman" w:hAnsi="Times New Roman" w:cs="Times New Roman"/>
                <w:color w:val="000000"/>
                <w:sz w:val="24"/>
                <w:szCs w:val="24"/>
              </w:rPr>
              <w:t>вебпорталі</w:t>
            </w:r>
            <w:proofErr w:type="spellEnd"/>
            <w:r>
              <w:rPr>
                <w:rFonts w:ascii="Times New Roman" w:eastAsia="Times New Roman" w:hAnsi="Times New Roman" w:cs="Times New Roman"/>
                <w:color w:val="000000"/>
                <w:sz w:val="24"/>
                <w:szCs w:val="24"/>
              </w:rPr>
              <w:t xml:space="preserve"> Уповноваженого органу «</w:t>
            </w:r>
            <w:proofErr w:type="spellStart"/>
            <w:r>
              <w:rPr>
                <w:rFonts w:ascii="Times New Roman" w:eastAsia="Times New Roman" w:hAnsi="Times New Roman" w:cs="Times New Roman"/>
                <w:color w:val="000000"/>
                <w:sz w:val="24"/>
                <w:szCs w:val="24"/>
              </w:rPr>
              <w:t>Прозорро</w:t>
            </w:r>
            <w:proofErr w:type="spellEnd"/>
            <w:r>
              <w:rPr>
                <w:rFonts w:ascii="Times New Roman" w:eastAsia="Times New Roman" w:hAnsi="Times New Roman" w:cs="Times New Roman"/>
                <w:color w:val="000000"/>
                <w:sz w:val="24"/>
                <w:szCs w:val="24"/>
              </w:rPr>
              <w:t>» – prozorro.gov.ua. 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пропозицію.</w:t>
            </w:r>
          </w:p>
          <w:p w14:paraId="5D7E027F" w14:textId="77777777" w:rsidR="00F96418"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У разі якщо учасник або його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w:t>
            </w:r>
            <w:r>
              <w:rPr>
                <w:rFonts w:ascii="Times New Roman" w:eastAsia="Times New Roman" w:hAnsi="Times New Roman" w:cs="Times New Roman"/>
                <w:sz w:val="24"/>
                <w:szCs w:val="24"/>
              </w:rPr>
              <w:lastRenderedPageBreak/>
              <w:t>громадянином Російської Федерації/ Республіки Білорусь/Ісламської Республіки Іран та проживає на території України на законних підставах,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4632A5DE" w14:textId="77777777" w:rsidR="00F9641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14:paraId="2012066C" w14:textId="77777777" w:rsidR="00F9641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або</w:t>
            </w:r>
          </w:p>
          <w:p w14:paraId="6E8D2FBA" w14:textId="77777777" w:rsidR="00F9641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посвідку на постійне чи тимчасове проживання на території України</w:t>
            </w:r>
          </w:p>
          <w:p w14:paraId="396CF240" w14:textId="77777777" w:rsidR="00F9641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або</w:t>
            </w:r>
          </w:p>
          <w:p w14:paraId="23964882" w14:textId="77777777" w:rsidR="00F9641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14:paraId="57687319" w14:textId="77777777" w:rsidR="00F9641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або</w:t>
            </w:r>
          </w:p>
          <w:p w14:paraId="5D14780C" w14:textId="77777777" w:rsidR="00F9641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посвідчення біженця чи документ, що підтверджує надання притулку в Україні (стаття 1 Закону України «Про громадянство України»). </w:t>
            </w:r>
          </w:p>
          <w:p w14:paraId="754E48C3" w14:textId="77777777" w:rsidR="00F9641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учасник або його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Білорусь/Ісламської Республіки Іран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Білорусь/Ісламської Республіки Іран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Білорусь/Ісламської Республіки Іран; юридичною особою, створеною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Білорусь/Ісламська Республіка Іран, громадянин Російської Федерації / Республіки Білорусь/Ісламської Республіки Іран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w:t>
            </w:r>
            <w:r>
              <w:rPr>
                <w:rFonts w:ascii="Times New Roman" w:eastAsia="Times New Roman" w:hAnsi="Times New Roman" w:cs="Times New Roman"/>
                <w:sz w:val="24"/>
                <w:szCs w:val="24"/>
              </w:rPr>
              <w:lastRenderedPageBreak/>
              <w:t xml:space="preserve">від корупційних та інших злочинів, замовник відхиляє такого учасника на підставі підпункту 1 пункту 44 Особливостей, а саме: учасник процедури закупівлі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eastAsia="Times New Roman" w:hAnsi="Times New Roman" w:cs="Times New Roman"/>
                <w:color w:val="000000"/>
                <w:sz w:val="24"/>
                <w:szCs w:val="24"/>
              </w:rPr>
              <w:t>.</w:t>
            </w:r>
          </w:p>
          <w:p w14:paraId="574A49F7" w14:textId="77777777" w:rsidR="00F96418"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8045C93" w14:textId="77777777" w:rsidR="00F96418"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A60570F" w14:textId="77777777" w:rsidR="00F96418"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w:t>
            </w:r>
            <w:r>
              <w:rPr>
                <w:rFonts w:ascii="Times New Roman" w:eastAsia="Times New Roman" w:hAnsi="Times New Roman" w:cs="Times New Roman"/>
                <w:sz w:val="24"/>
                <w:szCs w:val="24"/>
              </w:rPr>
              <w:t xml:space="preserve">під терміном “аномально низька ціна тендерної пропозиції” розуміється ціна/приведена ціна </w:t>
            </w:r>
            <w:r>
              <w:rPr>
                <w:rFonts w:ascii="Times New Roman" w:eastAsia="Times New Roman" w:hAnsi="Times New Roman" w:cs="Times New Roman"/>
                <w:sz w:val="24"/>
                <w:szCs w:val="24"/>
              </w:rPr>
              <w:lastRenderedPageBreak/>
              <w:t xml:space="preserve">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eastAsia="Times New Roman" w:hAnsi="Times New Roman" w:cs="Times New Roman"/>
                <w:color w:val="000000"/>
                <w:sz w:val="24"/>
                <w:szCs w:val="24"/>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CF8A442" w14:textId="77777777" w:rsidR="00F96418"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w:t>
            </w:r>
            <w:r>
              <w:rPr>
                <w:rFonts w:ascii="Times New Roman" w:eastAsia="Times New Roman" w:hAnsi="Times New Roman" w:cs="Times New Roman"/>
                <w:sz w:val="24"/>
                <w:szCs w:val="24"/>
              </w:rPr>
              <w:t>44</w:t>
            </w:r>
            <w:r>
              <w:rPr>
                <w:rFonts w:ascii="Times New Roman" w:eastAsia="Times New Roman" w:hAnsi="Times New Roman" w:cs="Times New Roman"/>
                <w:color w:val="000000"/>
                <w:sz w:val="24"/>
                <w:szCs w:val="24"/>
              </w:rPr>
              <w:t xml:space="preserve"> Особливостей.</w:t>
            </w:r>
          </w:p>
          <w:p w14:paraId="09C2283C" w14:textId="77777777" w:rsidR="00F96418"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788E385F" w14:textId="77777777" w:rsidR="00F96418" w:rsidRDefault="00000000">
            <w:pPr>
              <w:numPr>
                <w:ilvl w:val="0"/>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31585A8" w14:textId="77777777" w:rsidR="00F96418" w:rsidRDefault="00000000">
            <w:pPr>
              <w:numPr>
                <w:ilvl w:val="0"/>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BB53C4B" w14:textId="77777777" w:rsidR="00F96418" w:rsidRDefault="00000000">
            <w:pPr>
              <w:numPr>
                <w:ilvl w:val="0"/>
                <w:numId w:val="5"/>
              </w:num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22D70748" w14:textId="77777777" w:rsidR="00F9641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14:paraId="2E3F0D47" w14:textId="77777777" w:rsidR="00F9641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w:t>
            </w:r>
            <w:r>
              <w:rPr>
                <w:rFonts w:ascii="Times New Roman" w:eastAsia="Times New Roman" w:hAnsi="Times New Roman" w:cs="Times New Roman"/>
                <w:sz w:val="24"/>
                <w:szCs w:val="24"/>
              </w:rPr>
              <w:t>ої</w:t>
            </w:r>
            <w:r>
              <w:rPr>
                <w:rFonts w:ascii="Times New Roman" w:eastAsia="Times New Roman" w:hAnsi="Times New Roman" w:cs="Times New Roman"/>
                <w:color w:val="000000"/>
                <w:sz w:val="24"/>
                <w:szCs w:val="24"/>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w:t>
            </w:r>
            <w:r>
              <w:rPr>
                <w:rFonts w:ascii="Times New Roman" w:eastAsia="Times New Roman" w:hAnsi="Times New Roman" w:cs="Times New Roman"/>
                <w:color w:val="000000"/>
                <w:sz w:val="24"/>
                <w:szCs w:val="24"/>
              </w:rPr>
              <w:lastRenderedPageBreak/>
              <w:t>предмета закупівлі, що пропонується учасником процедури в його тендерній пропозиції). </w:t>
            </w:r>
          </w:p>
          <w:p w14:paraId="43ED3881" w14:textId="77777777" w:rsidR="00F9641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E9D9349" w14:textId="77777777" w:rsidR="00F9641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E286355" w14:textId="77777777" w:rsidR="00F9641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w:t>
            </w:r>
            <w:r>
              <w:rPr>
                <w:rFonts w:ascii="Times New Roman" w:eastAsia="Times New Roman" w:hAnsi="Times New Roman" w:cs="Times New Roman"/>
                <w:sz w:val="24"/>
                <w:szCs w:val="24"/>
              </w:rPr>
              <w:t>переможцем</w:t>
            </w:r>
            <w:r>
              <w:rPr>
                <w:rFonts w:ascii="Times New Roman" w:eastAsia="Times New Roman" w:hAnsi="Times New Roman" w:cs="Times New Roman"/>
                <w:color w:val="000000"/>
                <w:sz w:val="24"/>
                <w:szCs w:val="24"/>
              </w:rPr>
              <w:t xml:space="preserve"> процедури закупівлі, до органів державної влади, підприємств, установ, організацій відповідно до їх компетенції.</w:t>
            </w:r>
          </w:p>
          <w:p w14:paraId="6E77B1FB" w14:textId="77777777" w:rsidR="00F96418" w:rsidRDefault="00000000">
            <w:pPr>
              <w:spacing w:before="150" w:after="150" w:line="240" w:lineRule="auto"/>
              <w:ind w:firstLine="18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96418" w14:paraId="4BA735ED"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6BEBD5F" w14:textId="77777777" w:rsidR="00F96418"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E73AC18" w14:textId="77777777" w:rsidR="00F96418"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Відхилення тендерних пропозицій</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69DFE1B" w14:textId="77777777" w:rsidR="00F9641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учасник процедури закупівлі:</w:t>
            </w:r>
          </w:p>
          <w:p w14:paraId="662A2AE5" w14:textId="77777777" w:rsidR="00F96418" w:rsidRDefault="00000000">
            <w:pPr>
              <w:numPr>
                <w:ilvl w:val="0"/>
                <w:numId w:val="2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підпадає під підстави, встановлені пунктом 47 цих особливостей;</w:t>
            </w:r>
          </w:p>
          <w:p w14:paraId="7ABC9244" w14:textId="77777777" w:rsidR="00F96418" w:rsidRDefault="00000000">
            <w:pPr>
              <w:numPr>
                <w:ilvl w:val="0"/>
                <w:numId w:val="2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eastAsia="Times New Roman" w:hAnsi="Times New Roman" w:cs="Times New Roman"/>
                <w:sz w:val="24"/>
                <w:szCs w:val="24"/>
              </w:rPr>
              <w:t>перш</w:t>
            </w:r>
            <w:r>
              <w:rPr>
                <w:rFonts w:ascii="Times New Roman" w:eastAsia="Times New Roman" w:hAnsi="Times New Roman" w:cs="Times New Roman"/>
                <w:color w:val="000000"/>
                <w:sz w:val="24"/>
                <w:szCs w:val="24"/>
              </w:rPr>
              <w:t xml:space="preserve">им пункту </w:t>
            </w:r>
            <w:r>
              <w:rPr>
                <w:rFonts w:ascii="Times New Roman" w:eastAsia="Times New Roman" w:hAnsi="Times New Roman" w:cs="Times New Roman"/>
                <w:sz w:val="24"/>
                <w:szCs w:val="24"/>
              </w:rPr>
              <w:t>42</w:t>
            </w:r>
            <w:r>
              <w:rPr>
                <w:rFonts w:ascii="Times New Roman" w:eastAsia="Times New Roman" w:hAnsi="Times New Roman" w:cs="Times New Roman"/>
                <w:color w:val="000000"/>
                <w:sz w:val="24"/>
                <w:szCs w:val="24"/>
              </w:rPr>
              <w:t xml:space="preserve"> цих особливостей;</w:t>
            </w:r>
          </w:p>
          <w:p w14:paraId="2F443D4E" w14:textId="77777777" w:rsidR="00F96418" w:rsidRDefault="00000000">
            <w:pPr>
              <w:numPr>
                <w:ilvl w:val="0"/>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14:paraId="67F0A3E3" w14:textId="77777777" w:rsidR="00F96418" w:rsidRDefault="00000000">
            <w:pPr>
              <w:numPr>
                <w:ilvl w:val="0"/>
                <w:numId w:val="2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w:t>
            </w:r>
          </w:p>
          <w:p w14:paraId="15CC3168" w14:textId="77777777" w:rsidR="00F96418" w:rsidRDefault="00000000">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w:t>
            </w:r>
            <w:r>
              <w:rPr>
                <w:rFonts w:ascii="Times New Roman" w:eastAsia="Times New Roman" w:hAnsi="Times New Roman" w:cs="Times New Roman"/>
                <w:sz w:val="24"/>
                <w:szCs w:val="24"/>
              </w:rPr>
              <w:t xml:space="preserve">цом </w:t>
            </w:r>
            <w:hyperlink r:id="rId11" w:anchor="n1543">
              <w:r>
                <w:rPr>
                  <w:rFonts w:ascii="Times New Roman" w:eastAsia="Times New Roman" w:hAnsi="Times New Roman" w:cs="Times New Roman"/>
                  <w:sz w:val="24"/>
                  <w:szCs w:val="24"/>
                </w:rPr>
                <w:t>першим</w:t>
              </w:r>
            </w:hyperlink>
            <w:r>
              <w:rPr>
                <w:rFonts w:ascii="Times New Roman" w:eastAsia="Times New Roman" w:hAnsi="Times New Roman" w:cs="Times New Roman"/>
                <w:sz w:val="24"/>
                <w:szCs w:val="24"/>
              </w:rPr>
              <w:t xml:space="preserve"> частини чотирнадцятої статті 29 Закону/абзацом дев’ятим пункту 37 Особливостей</w:t>
            </w:r>
            <w:r>
              <w:rPr>
                <w:rFonts w:ascii="Times New Roman" w:eastAsia="Times New Roman" w:hAnsi="Times New Roman" w:cs="Times New Roman"/>
                <w:color w:val="000000"/>
                <w:sz w:val="24"/>
                <w:szCs w:val="24"/>
              </w:rPr>
              <w:t>;</w:t>
            </w:r>
          </w:p>
          <w:p w14:paraId="55901282" w14:textId="77777777" w:rsidR="00F96418" w:rsidRDefault="00000000">
            <w:pPr>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визначив конфіденційною інформацію, що не може бути визначена як конфіденційна відповідно до вимог пункту </w:t>
            </w:r>
            <w:r>
              <w:rPr>
                <w:rFonts w:ascii="Times New Roman" w:eastAsia="Times New Roman" w:hAnsi="Times New Roman" w:cs="Times New Roman"/>
                <w:sz w:val="24"/>
                <w:szCs w:val="24"/>
              </w:rPr>
              <w:t>40</w:t>
            </w:r>
            <w:r>
              <w:rPr>
                <w:rFonts w:ascii="Times New Roman" w:eastAsia="Times New Roman" w:hAnsi="Times New Roman" w:cs="Times New Roman"/>
                <w:color w:val="000000"/>
                <w:sz w:val="24"/>
                <w:szCs w:val="24"/>
              </w:rPr>
              <w:t xml:space="preserve"> особливостей;</w:t>
            </w:r>
          </w:p>
          <w:p w14:paraId="1322FA1E" w14:textId="77777777" w:rsidR="00F96418" w:rsidRDefault="00000000">
            <w:pPr>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eastAsia="Times New Roman" w:hAnsi="Times New Roman" w:cs="Times New Roman"/>
                <w:color w:val="000000"/>
                <w:sz w:val="24"/>
                <w:szCs w:val="24"/>
              </w:rPr>
              <w:t>;</w:t>
            </w:r>
          </w:p>
          <w:p w14:paraId="3FE21229" w14:textId="77777777" w:rsidR="00F96418" w:rsidRDefault="00F96418">
            <w:pPr>
              <w:spacing w:after="0" w:line="240" w:lineRule="auto"/>
              <w:rPr>
                <w:rFonts w:ascii="Times New Roman" w:eastAsia="Times New Roman" w:hAnsi="Times New Roman" w:cs="Times New Roman"/>
                <w:sz w:val="24"/>
                <w:szCs w:val="24"/>
              </w:rPr>
            </w:pPr>
          </w:p>
          <w:p w14:paraId="5EDF90C0" w14:textId="77777777" w:rsidR="00F9641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тендерна пропозиція:</w:t>
            </w:r>
          </w:p>
          <w:p w14:paraId="41C0F822" w14:textId="77777777" w:rsidR="00F96418" w:rsidRDefault="00000000">
            <w:pPr>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color w:val="000000"/>
                <w:sz w:val="24"/>
                <w:szCs w:val="24"/>
              </w:rPr>
              <w:t>собливостей;</w:t>
            </w:r>
          </w:p>
          <w:p w14:paraId="22FBF6C9" w14:textId="77777777" w:rsidR="00F96418" w:rsidRDefault="00000000">
            <w:pPr>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є такою, строк дії якої закінчився;</w:t>
            </w:r>
          </w:p>
          <w:p w14:paraId="37374CF8" w14:textId="77777777" w:rsidR="00F96418" w:rsidRDefault="00000000">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w:t>
            </w:r>
            <w:r>
              <w:rPr>
                <w:rFonts w:ascii="Times New Roman" w:eastAsia="Times New Roman" w:hAnsi="Times New Roman" w:cs="Times New Roman"/>
                <w:color w:val="000000"/>
                <w:sz w:val="24"/>
                <w:szCs w:val="24"/>
              </w:rPr>
              <w:lastRenderedPageBreak/>
              <w:t>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F9098AA" w14:textId="77777777" w:rsidR="00F96418" w:rsidRDefault="00000000">
            <w:pPr>
              <w:numPr>
                <w:ilvl w:val="0"/>
                <w:numId w:val="1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14:paraId="493D920A" w14:textId="77777777" w:rsidR="00F96418" w:rsidRDefault="00F96418">
            <w:pPr>
              <w:spacing w:after="0" w:line="240" w:lineRule="auto"/>
              <w:rPr>
                <w:rFonts w:ascii="Times New Roman" w:eastAsia="Times New Roman" w:hAnsi="Times New Roman" w:cs="Times New Roman"/>
                <w:sz w:val="24"/>
                <w:szCs w:val="24"/>
              </w:rPr>
            </w:pPr>
          </w:p>
          <w:p w14:paraId="5A187321" w14:textId="77777777" w:rsidR="00F9641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переможець процедури закупівлі:</w:t>
            </w:r>
          </w:p>
          <w:p w14:paraId="7705AF99" w14:textId="77777777" w:rsidR="00F96418" w:rsidRDefault="00000000">
            <w:pPr>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02E6F07" w14:textId="77777777" w:rsidR="00F96418" w:rsidRDefault="00000000">
            <w:pPr>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не надав у спосіб, зазначений в тендерній документації, документи, що підтверджують відсутність підстав, визначених </w:t>
            </w:r>
            <w:r>
              <w:rPr>
                <w:rFonts w:ascii="Times New Roman" w:eastAsia="Times New Roman" w:hAnsi="Times New Roman" w:cs="Times New Roman"/>
                <w:sz w:val="24"/>
                <w:szCs w:val="24"/>
              </w:rPr>
              <w:t>у підпунктах 3, 5, 6 і 12 пункту 47 Особливостей</w:t>
            </w:r>
            <w:r>
              <w:rPr>
                <w:rFonts w:ascii="Times New Roman" w:eastAsia="Times New Roman" w:hAnsi="Times New Roman" w:cs="Times New Roman"/>
                <w:color w:val="000000"/>
                <w:sz w:val="24"/>
                <w:szCs w:val="24"/>
              </w:rPr>
              <w:t>;</w:t>
            </w:r>
          </w:p>
          <w:p w14:paraId="00662F7F" w14:textId="77777777" w:rsidR="00F96418" w:rsidRDefault="00000000">
            <w:pPr>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14:paraId="6B38C758" w14:textId="77777777" w:rsidR="00F96418" w:rsidRDefault="00000000">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Pr>
                <w:rFonts w:ascii="Times New Roman" w:eastAsia="Times New Roman" w:hAnsi="Times New Roman" w:cs="Times New Roman"/>
                <w:sz w:val="24"/>
                <w:szCs w:val="24"/>
              </w:rPr>
              <w:t>перш</w:t>
            </w:r>
            <w:r>
              <w:rPr>
                <w:rFonts w:ascii="Times New Roman" w:eastAsia="Times New Roman" w:hAnsi="Times New Roman" w:cs="Times New Roman"/>
                <w:color w:val="000000"/>
                <w:sz w:val="24"/>
                <w:szCs w:val="24"/>
              </w:rPr>
              <w:t xml:space="preserve">им пункту </w:t>
            </w:r>
            <w:r>
              <w:rPr>
                <w:rFonts w:ascii="Times New Roman" w:eastAsia="Times New Roman" w:hAnsi="Times New Roman" w:cs="Times New Roman"/>
                <w:sz w:val="24"/>
                <w:szCs w:val="24"/>
              </w:rPr>
              <w:t>42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color w:val="000000"/>
                <w:sz w:val="24"/>
                <w:szCs w:val="24"/>
              </w:rPr>
              <w:t>собливостей.</w:t>
            </w:r>
          </w:p>
          <w:p w14:paraId="7C445B40" w14:textId="77777777" w:rsidR="00F9641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разі, коли:</w:t>
            </w:r>
          </w:p>
          <w:p w14:paraId="656D9E35" w14:textId="77777777" w:rsidR="00F96418" w:rsidRDefault="00F96418">
            <w:pPr>
              <w:spacing w:after="0" w:line="240" w:lineRule="auto"/>
              <w:rPr>
                <w:rFonts w:ascii="Times New Roman" w:eastAsia="Times New Roman" w:hAnsi="Times New Roman" w:cs="Times New Roman"/>
                <w:sz w:val="24"/>
                <w:szCs w:val="24"/>
              </w:rPr>
            </w:pPr>
          </w:p>
          <w:p w14:paraId="395B501D" w14:textId="77777777" w:rsidR="00F96418" w:rsidRDefault="00000000">
            <w:pPr>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процедури закупівлі надав неналежне обґрунтування щодо ціни або вартості </w:t>
            </w:r>
            <w:r>
              <w:rPr>
                <w:rFonts w:ascii="Times New Roman" w:eastAsia="Times New Roman" w:hAnsi="Times New Roman" w:cs="Times New Roman"/>
                <w:color w:val="000000"/>
                <w:sz w:val="24"/>
                <w:szCs w:val="24"/>
                <w:highlight w:val="white"/>
              </w:rPr>
              <w:t>відповідних товарів, робіт чи послуг тендерної пропозиції, що є аномально низькою;</w:t>
            </w:r>
          </w:p>
          <w:p w14:paraId="7F1D41D9" w14:textId="77777777" w:rsidR="00F96418" w:rsidRDefault="00000000">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highlight w:val="white"/>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20740F74" w14:textId="77777777" w:rsidR="00F9641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w:t>
            </w:r>
            <w:r>
              <w:rPr>
                <w:rFonts w:ascii="Times New Roman" w:eastAsia="Times New Roman" w:hAnsi="Times New Roman" w:cs="Times New Roman"/>
                <w:color w:val="000000"/>
                <w:sz w:val="24"/>
                <w:szCs w:val="24"/>
              </w:rPr>
              <w:lastRenderedPageBreak/>
              <w:t xml:space="preserve">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14:paraId="1F81A517" w14:textId="77777777" w:rsidR="00F9641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96418" w14:paraId="0DF163BE" w14:textId="77777777">
        <w:tc>
          <w:tcPr>
            <w:tcW w:w="99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8CCA561" w14:textId="77777777" w:rsidR="00F96418"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Результати тендеру та укладання договору про закупівлю</w:t>
            </w:r>
          </w:p>
        </w:tc>
      </w:tr>
      <w:tr w:rsidR="00F96418" w14:paraId="04FBAC4D"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08C19EA" w14:textId="77777777" w:rsidR="00F96418"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9CAC7BA" w14:textId="77777777" w:rsidR="00F96418"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Відміна замовником тендеру чи визнання його таким, що не відбувся</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35CFA60" w14:textId="77777777" w:rsidR="00F9641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відміняє відкриті торги у разі:</w:t>
            </w:r>
          </w:p>
          <w:p w14:paraId="70FDDEA5" w14:textId="77777777" w:rsidR="00F96418"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14:paraId="5653571D" w14:textId="77777777" w:rsidR="00F9641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з описом таких порушень;</w:t>
            </w:r>
          </w:p>
          <w:p w14:paraId="5641DCCF" w14:textId="77777777" w:rsidR="00F9641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37C0D2E8" w14:textId="77777777" w:rsidR="00F9641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14:paraId="7B67E2B9" w14:textId="77777777" w:rsidR="00F9641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підстави прийняття такого рішення. </w:t>
            </w:r>
          </w:p>
          <w:p w14:paraId="5B71C83E" w14:textId="77777777" w:rsidR="00F9641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разі:</w:t>
            </w:r>
          </w:p>
          <w:p w14:paraId="371BE83D" w14:textId="77777777" w:rsidR="00F9641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4A92D59" w14:textId="77777777" w:rsidR="00F9641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293D8A39" w14:textId="77777777" w:rsidR="00F9641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8EC6CD9" w14:textId="77777777" w:rsidR="00F9641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Відкриті торги можуть бути відмінені частково (за лотом).</w:t>
            </w:r>
          </w:p>
          <w:p w14:paraId="611886E3" w14:textId="77777777" w:rsidR="00F9641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Інформація про відміну відкритих торгів автоматично надсилається всім учасникам процедури закупівлі </w:t>
            </w:r>
            <w:r>
              <w:rPr>
                <w:rFonts w:ascii="Times New Roman" w:eastAsia="Times New Roman" w:hAnsi="Times New Roman" w:cs="Times New Roman"/>
                <w:color w:val="000000"/>
                <w:sz w:val="24"/>
                <w:szCs w:val="24"/>
              </w:rPr>
              <w:lastRenderedPageBreak/>
              <w:t xml:space="preserve">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в день її оприлюднення.</w:t>
            </w:r>
          </w:p>
        </w:tc>
      </w:tr>
      <w:tr w:rsidR="00F96418" w14:paraId="3B070FD7"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60DC6C9" w14:textId="77777777" w:rsidR="00F96418"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98FEB6F" w14:textId="77777777" w:rsidR="00F96418"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 укладання договору про закупівлю</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147AFB5" w14:textId="77777777" w:rsidR="00F9641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про намір укласти договір про закупівлю.</w:t>
            </w:r>
          </w:p>
          <w:p w14:paraId="762C76F0" w14:textId="77777777" w:rsidR="00F96418" w:rsidRDefault="00000000">
            <w:pP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2DBBA45" w14:textId="77777777" w:rsidR="00F96418" w:rsidRDefault="0000000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та зразок підпису. У разі наявності обмежень щодо підписання договору, необхідності додаткового погодження з вищим органом (наприклад загальними зборами, власником) тощо, додатково необхідно надати документ про наявність в особи таких повноважень. </w:t>
            </w:r>
          </w:p>
          <w:p w14:paraId="62859DE4" w14:textId="77777777" w:rsidR="00F96418" w:rsidRDefault="0000000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F96418" w14:paraId="7AAEAA13"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8F7870C" w14:textId="77777777" w:rsidR="00F96418"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B0485F6" w14:textId="77777777" w:rsidR="00F96418"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Проект договору про закупівлю</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7942DD2" w14:textId="77777777" w:rsidR="00F9641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Проект договору про закупівлю викладений у Додатку № 4 до тендерної документації.</w:t>
            </w:r>
          </w:p>
        </w:tc>
      </w:tr>
      <w:tr w:rsidR="00F96418" w14:paraId="3259C6D2"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9BFA479" w14:textId="77777777" w:rsidR="00F96418"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8157C50" w14:textId="77777777" w:rsidR="00F96418"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Умови укладання договору про закупівлю</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B4EF869" w14:textId="77777777" w:rsidR="00F9641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Цивільного і Господарського кодексів України з урахуванням положень статті 41 Закону, крім частин </w:t>
            </w:r>
            <w:r>
              <w:rPr>
                <w:rFonts w:ascii="Times New Roman" w:eastAsia="Times New Roman" w:hAnsi="Times New Roman" w:cs="Times New Roman"/>
                <w:sz w:val="24"/>
                <w:szCs w:val="24"/>
              </w:rPr>
              <w:t>друг</w:t>
            </w:r>
            <w:r>
              <w:rPr>
                <w:rFonts w:ascii="Times New Roman" w:eastAsia="Times New Roman" w:hAnsi="Times New Roman" w:cs="Times New Roman"/>
                <w:color w:val="000000"/>
                <w:sz w:val="24"/>
                <w:szCs w:val="24"/>
              </w:rPr>
              <w:t>ої-п’ятої, сьомої-дев’ятої статті 41 Закону, та цих особливостей.</w:t>
            </w:r>
          </w:p>
          <w:p w14:paraId="3F9C8479" w14:textId="77777777" w:rsidR="00F9641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292F5DD" w14:textId="77777777" w:rsidR="00F96418" w:rsidRDefault="00000000">
            <w:pPr>
              <w:numPr>
                <w:ilvl w:val="0"/>
                <w:numId w:val="11"/>
              </w:numP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14:paraId="0AEF0C4F" w14:textId="77777777" w:rsidR="00F96418" w:rsidRDefault="00000000">
            <w:pPr>
              <w:numPr>
                <w:ilvl w:val="0"/>
                <w:numId w:val="1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14:paraId="0FB7F145" w14:textId="77777777" w:rsidR="00F96418" w:rsidRDefault="00000000">
            <w:pPr>
              <w:numPr>
                <w:ilvl w:val="0"/>
                <w:numId w:val="11"/>
              </w:num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перерахунку ціни та обсягів товарів в бік зменшення за умови необхідності приведення обсягів товарів до кратності упаковки.</w:t>
            </w:r>
          </w:p>
          <w:p w14:paraId="1EAF8AE2" w14:textId="77777777" w:rsidR="00F96418"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4F6FB706" w14:textId="77777777" w:rsidR="00F96418"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Переможець процедури закупівлі під час укладення договору про закупівлю повинен надати шляхом завантаження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відповідну інформацію про право підписання договору про закупівлю</w:t>
            </w:r>
            <w:r>
              <w:rPr>
                <w:rFonts w:ascii="Times New Roman" w:eastAsia="Times New Roman" w:hAnsi="Times New Roman" w:cs="Times New Roman"/>
                <w:sz w:val="24"/>
                <w:szCs w:val="24"/>
              </w:rPr>
              <w:t>.</w:t>
            </w:r>
          </w:p>
          <w:p w14:paraId="0BCD407E" w14:textId="77777777" w:rsidR="00F9641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в строк, починаючи з п’ятого дня  з дати оприлюднення на веб-порталі Уповноваженого органу повідомлення про намір укласти договір але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надає (поштою або особисто) замовнику документи та інформацію, необхідні для укладення договору про закупівлю, а саме: заповнений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з усіма додатками. Не подання таких документів та інформації, необхідних для укладення договору про закупівлю, буде вказувати про виникнення обставин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вини учасника, а саме: відмову від підписання договору про закупівлю відповідно до вимог тендерної документації або</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укладення договору про закупівлю та підлягає відхиленню на підставі абзацу 2 підпункту 3  пункту 44 Особливостей.</w:t>
            </w:r>
          </w:p>
          <w:p w14:paraId="5C2FD70C" w14:textId="77777777" w:rsidR="00F9641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96418" w14:paraId="5155A702"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92D2980" w14:textId="77777777" w:rsidR="00F96418"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49DEAB8" w14:textId="77777777" w:rsidR="00F96418"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Дії замовника при відмові переможця процедури закупівлі від підписання договір про закупівлю</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94258CF" w14:textId="77777777" w:rsidR="00F9641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відхилення тендерної пропозиції з підстави, визначеної підпунктом 3 пункту 41 </w:t>
            </w:r>
            <w:r>
              <w:rPr>
                <w:rFonts w:ascii="Times New Roman" w:eastAsia="Times New Roman" w:hAnsi="Times New Roman" w:cs="Times New Roman"/>
                <w:sz w:val="24"/>
                <w:szCs w:val="24"/>
              </w:rPr>
              <w:t>О</w:t>
            </w:r>
            <w:r>
              <w:rPr>
                <w:rFonts w:ascii="Times New Roman" w:eastAsia="Times New Roman" w:hAnsi="Times New Roman" w:cs="Times New Roman"/>
                <w:color w:val="000000"/>
                <w:sz w:val="24"/>
                <w:szCs w:val="24"/>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Особливостей.</w:t>
            </w:r>
          </w:p>
        </w:tc>
      </w:tr>
      <w:tr w:rsidR="00F96418" w14:paraId="2B3A83F1"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DF4DF33" w14:textId="77777777" w:rsidR="00F96418"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623A1D0" w14:textId="77777777" w:rsidR="00F96418"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Забезпечення виконання договору про закупівлю</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0036CD2" w14:textId="77777777" w:rsidR="00F96418" w:rsidRDefault="00000000">
            <w:pPr>
              <w:spacing w:after="0" w:line="240" w:lineRule="auto"/>
              <w:jc w:val="both"/>
              <w:rPr>
                <w:rFonts w:ascii="Times New Roman" w:eastAsia="Times New Roman" w:hAnsi="Times New Roman" w:cs="Times New Roman"/>
                <w:sz w:val="24"/>
                <w:szCs w:val="24"/>
              </w:rPr>
            </w:pPr>
            <w:bookmarkStart w:id="1" w:name="_heading=h.1fob9te" w:colFirst="0" w:colLast="0"/>
            <w:bookmarkEnd w:id="1"/>
            <w:r>
              <w:rPr>
                <w:rFonts w:ascii="Times New Roman" w:eastAsia="Times New Roman" w:hAnsi="Times New Roman" w:cs="Times New Roman"/>
                <w:sz w:val="24"/>
                <w:szCs w:val="24"/>
              </w:rPr>
              <w:t>Замовник вимагає від переможця внесення ним не пізніше дати укладення договору про закупівлю забезпечення виконання такого договору.</w:t>
            </w:r>
          </w:p>
          <w:p w14:paraId="4E72A056" w14:textId="77777777" w:rsidR="00F9641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 забезпечення: завдаток.</w:t>
            </w:r>
          </w:p>
          <w:p w14:paraId="1E7DDA63" w14:textId="77777777" w:rsidR="00F9641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Розмір забезпечення має складати 3% вартості договору про закупівлю.</w:t>
            </w:r>
          </w:p>
          <w:p w14:paraId="5D2FC4F4" w14:textId="77777777" w:rsidR="00F9641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Забезпечення виконання договору про закупівлю вноситься учасником-переможцем шляхом перерахування коштів на розрахунковий рахунок Замовника.</w:t>
            </w:r>
          </w:p>
          <w:p w14:paraId="0CA3BF4D" w14:textId="77777777" w:rsidR="00F9641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Реквізити Замовника:</w:t>
            </w:r>
          </w:p>
          <w:p w14:paraId="00EEADB7" w14:textId="77777777" w:rsidR="00F9641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Департамент житлово-комунального господарства Харківської міської ради </w:t>
            </w:r>
          </w:p>
          <w:p w14:paraId="5F8AF68F" w14:textId="77777777" w:rsidR="00F9641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43927048</w:t>
            </w:r>
          </w:p>
          <w:p w14:paraId="7121A4D0" w14:textId="77777777" w:rsidR="00F9641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UA838201720355119008000113955</w:t>
            </w:r>
          </w:p>
          <w:p w14:paraId="32BCB533" w14:textId="77777777" w:rsidR="00F96418" w:rsidRDefault="00000000">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Держказначейська</w:t>
            </w:r>
            <w:proofErr w:type="spellEnd"/>
            <w:r>
              <w:rPr>
                <w:rFonts w:ascii="Times New Roman" w:eastAsia="Times New Roman" w:hAnsi="Times New Roman" w:cs="Times New Roman"/>
                <w:sz w:val="24"/>
                <w:szCs w:val="24"/>
              </w:rPr>
              <w:t xml:space="preserve"> служба України, м. Київ</w:t>
            </w:r>
          </w:p>
          <w:p w14:paraId="0C804643" w14:textId="77777777" w:rsidR="00F9641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Призначення платежу: забезпечення виконання договору про закупівлю: «Поточний ремонт по усуненню аварій в житловому фонді багатоквартирного будинку за </w:t>
            </w:r>
            <w:proofErr w:type="spellStart"/>
            <w:r>
              <w:rPr>
                <w:rFonts w:ascii="Times New Roman" w:eastAsia="Times New Roman" w:hAnsi="Times New Roman" w:cs="Times New Roman"/>
                <w:sz w:val="24"/>
                <w:szCs w:val="24"/>
              </w:rPr>
              <w:t>адресою</w:t>
            </w:r>
            <w:proofErr w:type="spellEnd"/>
            <w:r>
              <w:rPr>
                <w:rFonts w:ascii="Times New Roman" w:eastAsia="Times New Roman" w:hAnsi="Times New Roman" w:cs="Times New Roman"/>
                <w:sz w:val="24"/>
                <w:szCs w:val="24"/>
              </w:rPr>
              <w:t>: вулиця Селянська, 34-А,  місто Харків (код ДК 021:2015-</w:t>
            </w:r>
            <w:r>
              <w:t xml:space="preserve"> </w:t>
            </w:r>
            <w:r>
              <w:rPr>
                <w:rFonts w:ascii="Times New Roman" w:eastAsia="Times New Roman" w:hAnsi="Times New Roman" w:cs="Times New Roman"/>
                <w:sz w:val="24"/>
                <w:szCs w:val="24"/>
              </w:rPr>
              <w:t xml:space="preserve">45260000-7 Покрівельні роботи та інші спеціалізовані будівельні роботи)». Підтвердженням надання забезпечення виконання договору про закупівлю є наявність у переможця платіжного доручення на перерахування завдатку, яке завантажуються в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сканованому вигляді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інш</w:t>
            </w:r>
            <w:proofErr w:type="spellEnd"/>
            <w:r>
              <w:rPr>
                <w:rFonts w:ascii="Times New Roman" w:eastAsia="Times New Roman" w:hAnsi="Times New Roman" w:cs="Times New Roman"/>
                <w:sz w:val="24"/>
                <w:szCs w:val="24"/>
              </w:rPr>
              <w:t>.</w:t>
            </w:r>
          </w:p>
          <w:p w14:paraId="30143EEC" w14:textId="77777777" w:rsidR="00F9641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повертає забезпечення виконання договору про закупівлю:</w:t>
            </w:r>
          </w:p>
          <w:p w14:paraId="13BEC19F" w14:textId="77777777" w:rsidR="00F9641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після виконання переможцем процедури закупівлі договору про закупівлю;</w:t>
            </w:r>
          </w:p>
          <w:p w14:paraId="1816BB18" w14:textId="77777777" w:rsidR="00F9641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3B144263" w14:textId="77777777" w:rsidR="00F9641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у випадках, передбачених статтею 43 Закону;</w:t>
            </w:r>
          </w:p>
          <w:p w14:paraId="1343B26C" w14:textId="77777777" w:rsidR="00F9641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14:paraId="2720A6A3" w14:textId="77777777" w:rsidR="00F9641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неповернення забезпечення виконання договору про закупівлю встановлюються відповідно до чинного законодавства України.</w:t>
            </w:r>
          </w:p>
          <w:p w14:paraId="2AA5870B" w14:textId="77777777" w:rsidR="00F9641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w:t>
            </w:r>
          </w:p>
        </w:tc>
      </w:tr>
    </w:tbl>
    <w:p w14:paraId="7EE4914F" w14:textId="77777777" w:rsidR="00F96418" w:rsidRDefault="00F96418">
      <w:pPr>
        <w:tabs>
          <w:tab w:val="left" w:pos="3645"/>
        </w:tabs>
        <w:spacing w:line="240" w:lineRule="auto"/>
        <w:rPr>
          <w:rFonts w:ascii="Times New Roman" w:eastAsia="Times New Roman" w:hAnsi="Times New Roman" w:cs="Times New Roman"/>
          <w:b/>
          <w:sz w:val="24"/>
          <w:szCs w:val="24"/>
        </w:rPr>
      </w:pPr>
    </w:p>
    <w:sectPr w:rsidR="00F96418">
      <w:pgSz w:w="11906" w:h="16838"/>
      <w:pgMar w:top="568" w:right="850" w:bottom="567"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82558"/>
    <w:multiLevelType w:val="multilevel"/>
    <w:tmpl w:val="A5BCC8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A59341F"/>
    <w:multiLevelType w:val="multilevel"/>
    <w:tmpl w:val="A8C884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2DC48A9"/>
    <w:multiLevelType w:val="multilevel"/>
    <w:tmpl w:val="5C8CD7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7183415"/>
    <w:multiLevelType w:val="multilevel"/>
    <w:tmpl w:val="721E4E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2EC699E"/>
    <w:multiLevelType w:val="multilevel"/>
    <w:tmpl w:val="5ED200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3D13BCC"/>
    <w:multiLevelType w:val="multilevel"/>
    <w:tmpl w:val="890ACB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5835E71"/>
    <w:multiLevelType w:val="multilevel"/>
    <w:tmpl w:val="B2CE03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0E63281"/>
    <w:multiLevelType w:val="multilevel"/>
    <w:tmpl w:val="8A7671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29C4147"/>
    <w:multiLevelType w:val="multilevel"/>
    <w:tmpl w:val="EA1028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73122EB"/>
    <w:multiLevelType w:val="multilevel"/>
    <w:tmpl w:val="9A5891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8833EF9"/>
    <w:multiLevelType w:val="multilevel"/>
    <w:tmpl w:val="1624B4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3F8B08FC"/>
    <w:multiLevelType w:val="multilevel"/>
    <w:tmpl w:val="DE2CC6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429E6D94"/>
    <w:multiLevelType w:val="multilevel"/>
    <w:tmpl w:val="40DA61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4C1D494C"/>
    <w:multiLevelType w:val="multilevel"/>
    <w:tmpl w:val="4FF82F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51AB6538"/>
    <w:multiLevelType w:val="multilevel"/>
    <w:tmpl w:val="A2E80F82"/>
    <w:lvl w:ilvl="0">
      <w:start w:val="1"/>
      <w:numFmt w:val="bullet"/>
      <w:lvlText w:val="●"/>
      <w:lvlJc w:val="left"/>
      <w:pPr>
        <w:ind w:left="720" w:hanging="360"/>
      </w:pPr>
      <w:rPr>
        <w:rFonts w:ascii="Noto Sans Symbols" w:eastAsia="Noto Sans Symbols" w:hAnsi="Noto Sans Symbols" w:cs="Noto Sans Symbols"/>
        <w:sz w:val="20"/>
        <w:szCs w:val="20"/>
        <w:highlight w:val="white"/>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527651F8"/>
    <w:multiLevelType w:val="multilevel"/>
    <w:tmpl w:val="DFEE4E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53507750"/>
    <w:multiLevelType w:val="multilevel"/>
    <w:tmpl w:val="F870A6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560E2DCF"/>
    <w:multiLevelType w:val="multilevel"/>
    <w:tmpl w:val="22E2AF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621D4B7A"/>
    <w:multiLevelType w:val="multilevel"/>
    <w:tmpl w:val="7A6639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705656EA"/>
    <w:multiLevelType w:val="multilevel"/>
    <w:tmpl w:val="248689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73025AFD"/>
    <w:multiLevelType w:val="multilevel"/>
    <w:tmpl w:val="AB3236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127813815">
    <w:abstractNumId w:val="12"/>
  </w:num>
  <w:num w:numId="2" w16cid:durableId="1858035440">
    <w:abstractNumId w:val="16"/>
  </w:num>
  <w:num w:numId="3" w16cid:durableId="723454668">
    <w:abstractNumId w:val="9"/>
  </w:num>
  <w:num w:numId="4" w16cid:durableId="599264763">
    <w:abstractNumId w:val="10"/>
  </w:num>
  <w:num w:numId="5" w16cid:durableId="359015954">
    <w:abstractNumId w:val="11"/>
  </w:num>
  <w:num w:numId="6" w16cid:durableId="834495055">
    <w:abstractNumId w:val="13"/>
  </w:num>
  <w:num w:numId="7" w16cid:durableId="652949906">
    <w:abstractNumId w:val="14"/>
  </w:num>
  <w:num w:numId="8" w16cid:durableId="1271426316">
    <w:abstractNumId w:val="2"/>
  </w:num>
  <w:num w:numId="9" w16cid:durableId="1749957791">
    <w:abstractNumId w:val="0"/>
  </w:num>
  <w:num w:numId="10" w16cid:durableId="1485314790">
    <w:abstractNumId w:val="5"/>
  </w:num>
  <w:num w:numId="11" w16cid:durableId="1632594940">
    <w:abstractNumId w:val="17"/>
  </w:num>
  <w:num w:numId="12" w16cid:durableId="1207909926">
    <w:abstractNumId w:val="3"/>
  </w:num>
  <w:num w:numId="13" w16cid:durableId="1280601000">
    <w:abstractNumId w:val="7"/>
  </w:num>
  <w:num w:numId="14" w16cid:durableId="568347919">
    <w:abstractNumId w:val="1"/>
  </w:num>
  <w:num w:numId="15" w16cid:durableId="1885290251">
    <w:abstractNumId w:val="4"/>
  </w:num>
  <w:num w:numId="16" w16cid:durableId="1707489883">
    <w:abstractNumId w:val="8"/>
  </w:num>
  <w:num w:numId="17" w16cid:durableId="399864328">
    <w:abstractNumId w:val="6"/>
  </w:num>
  <w:num w:numId="18" w16cid:durableId="52848535">
    <w:abstractNumId w:val="19"/>
  </w:num>
  <w:num w:numId="19" w16cid:durableId="1448885576">
    <w:abstractNumId w:val="18"/>
  </w:num>
  <w:num w:numId="20" w16cid:durableId="1994329595">
    <w:abstractNumId w:val="20"/>
  </w:num>
  <w:num w:numId="21" w16cid:durableId="200123419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418"/>
    <w:rsid w:val="00123CB7"/>
    <w:rsid w:val="00F964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13B54"/>
  <w15:docId w15:val="{207CA38D-2396-4D3E-A84F-A1564298D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pBdr>
        <w:top w:val="nil"/>
        <w:left w:val="nil"/>
        <w:bottom w:val="nil"/>
        <w:right w:val="nil"/>
        <w:between w:val="nil"/>
      </w:pBdr>
      <w:spacing w:before="360" w:after="80" w:line="276" w:lineRule="auto"/>
      <w:outlineLvl w:val="1"/>
    </w:pPr>
    <w:rPr>
      <w:rFonts w:ascii="Arial" w:eastAsia="Arial" w:hAnsi="Arial" w:cs="Arial"/>
      <w:b/>
      <w:color w:val="000000"/>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table" w:customStyle="1" w:styleId="TableNormalf">
    <w:name w:val="Table Normal"/>
    <w:tblPr>
      <w:tblCellMar>
        <w:top w:w="0" w:type="dxa"/>
        <w:left w:w="0" w:type="dxa"/>
        <w:bottom w:w="0" w:type="dxa"/>
        <w:right w:w="0" w:type="dxa"/>
      </w:tblCellMar>
    </w:tblPr>
  </w:style>
  <w:style w:type="table" w:customStyle="1" w:styleId="TableNormalf0">
    <w:name w:val="Table Normal"/>
    <w:tblPr>
      <w:tblCellMar>
        <w:top w:w="0" w:type="dxa"/>
        <w:left w:w="0" w:type="dxa"/>
        <w:bottom w:w="0" w:type="dxa"/>
        <w:right w:w="0" w:type="dxa"/>
      </w:tblCellMar>
    </w:tblPr>
  </w:style>
  <w:style w:type="table" w:customStyle="1" w:styleId="TableNormalf1">
    <w:name w:val="Table Normal"/>
    <w:tblPr>
      <w:tblCellMar>
        <w:top w:w="0" w:type="dxa"/>
        <w:left w:w="0" w:type="dxa"/>
        <w:bottom w:w="0" w:type="dxa"/>
        <w:right w:w="0" w:type="dxa"/>
      </w:tblCellMar>
    </w:tblPr>
  </w:style>
  <w:style w:type="table" w:customStyle="1" w:styleId="TableNormalf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f2"/>
    <w:pPr>
      <w:spacing w:after="200" w:line="276" w:lineRule="auto"/>
    </w:pPr>
    <w:tblPr>
      <w:tblStyleRowBandSize w:val="1"/>
      <w:tblStyleColBandSize w:val="1"/>
      <w:tblCellMar>
        <w:top w:w="15" w:type="dxa"/>
        <w:left w:w="115" w:type="dxa"/>
        <w:bottom w:w="15" w:type="dxa"/>
        <w:right w:w="115" w:type="dxa"/>
      </w:tblCellMar>
    </w:tblPr>
  </w:style>
  <w:style w:type="table" w:customStyle="1" w:styleId="a6">
    <w:basedOn w:val="TableNormalf2"/>
    <w:pPr>
      <w:spacing w:after="200" w:line="276" w:lineRule="auto"/>
    </w:pPr>
    <w:tblPr>
      <w:tblStyleRowBandSize w:val="1"/>
      <w:tblStyleColBandSize w:val="1"/>
      <w:tblCellMar>
        <w:top w:w="15" w:type="dxa"/>
        <w:left w:w="115" w:type="dxa"/>
        <w:bottom w:w="15" w:type="dxa"/>
        <w:right w:w="115" w:type="dxa"/>
      </w:tblCellMar>
    </w:tblPr>
  </w:style>
  <w:style w:type="table" w:customStyle="1" w:styleId="a7">
    <w:basedOn w:val="TableNormalf2"/>
    <w:pPr>
      <w:spacing w:after="200" w:line="276" w:lineRule="auto"/>
    </w:pPr>
    <w:tblPr>
      <w:tblStyleRowBandSize w:val="1"/>
      <w:tblStyleColBandSize w:val="1"/>
      <w:tblCellMar>
        <w:top w:w="15" w:type="dxa"/>
        <w:left w:w="115" w:type="dxa"/>
        <w:bottom w:w="15" w:type="dxa"/>
        <w:right w:w="115" w:type="dxa"/>
      </w:tblCellMar>
    </w:tblPr>
  </w:style>
  <w:style w:type="table" w:customStyle="1" w:styleId="a8">
    <w:basedOn w:val="TableNormalf2"/>
    <w:pPr>
      <w:spacing w:after="200" w:line="276" w:lineRule="auto"/>
    </w:pPr>
    <w:tblPr>
      <w:tblStyleRowBandSize w:val="1"/>
      <w:tblStyleColBandSize w:val="1"/>
      <w:tblCellMar>
        <w:top w:w="15" w:type="dxa"/>
        <w:left w:w="115" w:type="dxa"/>
        <w:bottom w:w="15" w:type="dxa"/>
        <w:right w:w="115" w:type="dxa"/>
      </w:tblCellMar>
    </w:tblPr>
  </w:style>
  <w:style w:type="table" w:customStyle="1" w:styleId="a9">
    <w:basedOn w:val="TableNormalf2"/>
    <w:pPr>
      <w:spacing w:after="200" w:line="276" w:lineRule="auto"/>
    </w:pPr>
    <w:tblPr>
      <w:tblStyleRowBandSize w:val="1"/>
      <w:tblStyleColBandSize w:val="1"/>
      <w:tblCellMar>
        <w:top w:w="15" w:type="dxa"/>
        <w:left w:w="115" w:type="dxa"/>
        <w:bottom w:w="15" w:type="dxa"/>
        <w:right w:w="115" w:type="dxa"/>
      </w:tblCellMar>
    </w:tblPr>
  </w:style>
  <w:style w:type="table" w:customStyle="1" w:styleId="aa">
    <w:basedOn w:val="TableNormalf2"/>
    <w:pPr>
      <w:spacing w:after="200" w:line="276" w:lineRule="auto"/>
    </w:pPr>
    <w:tblPr>
      <w:tblStyleRowBandSize w:val="1"/>
      <w:tblStyleColBandSize w:val="1"/>
      <w:tblCellMar>
        <w:top w:w="15" w:type="dxa"/>
        <w:left w:w="115" w:type="dxa"/>
        <w:bottom w:w="15" w:type="dxa"/>
        <w:right w:w="115" w:type="dxa"/>
      </w:tblCellMar>
    </w:tblPr>
  </w:style>
  <w:style w:type="table" w:customStyle="1" w:styleId="ab">
    <w:basedOn w:val="TableNormalf2"/>
    <w:pPr>
      <w:spacing w:after="200" w:line="276" w:lineRule="auto"/>
    </w:pPr>
    <w:tblPr>
      <w:tblStyleRowBandSize w:val="1"/>
      <w:tblStyleColBandSize w:val="1"/>
      <w:tblCellMar>
        <w:top w:w="15" w:type="dxa"/>
        <w:left w:w="115" w:type="dxa"/>
        <w:bottom w:w="15" w:type="dxa"/>
        <w:right w:w="115" w:type="dxa"/>
      </w:tblCellMar>
    </w:tblPr>
  </w:style>
  <w:style w:type="table" w:customStyle="1" w:styleId="ac">
    <w:basedOn w:val="TableNormalf2"/>
    <w:pPr>
      <w:spacing w:after="200" w:line="276" w:lineRule="auto"/>
    </w:pPr>
    <w:tblPr>
      <w:tblStyleRowBandSize w:val="1"/>
      <w:tblStyleColBandSize w:val="1"/>
      <w:tblCellMar>
        <w:top w:w="15" w:type="dxa"/>
        <w:left w:w="115" w:type="dxa"/>
        <w:bottom w:w="15" w:type="dxa"/>
        <w:right w:w="115" w:type="dxa"/>
      </w:tblCellMar>
    </w:tblPr>
  </w:style>
  <w:style w:type="table" w:customStyle="1" w:styleId="ad">
    <w:basedOn w:val="TableNormalf2"/>
    <w:pPr>
      <w:spacing w:after="200" w:line="276" w:lineRule="auto"/>
    </w:pPr>
    <w:tblPr>
      <w:tblStyleRowBandSize w:val="1"/>
      <w:tblStyleColBandSize w:val="1"/>
      <w:tblCellMar>
        <w:top w:w="15" w:type="dxa"/>
        <w:left w:w="115" w:type="dxa"/>
        <w:bottom w:w="15" w:type="dxa"/>
        <w:right w:w="115" w:type="dxa"/>
      </w:tblCellMar>
    </w:tblPr>
  </w:style>
  <w:style w:type="table" w:customStyle="1" w:styleId="ae">
    <w:basedOn w:val="TableNormalf2"/>
    <w:pPr>
      <w:spacing w:after="200" w:line="276" w:lineRule="auto"/>
    </w:pPr>
    <w:tblPr>
      <w:tblStyleRowBandSize w:val="1"/>
      <w:tblStyleColBandSize w:val="1"/>
      <w:tblCellMar>
        <w:top w:w="15" w:type="dxa"/>
        <w:left w:w="115" w:type="dxa"/>
        <w:bottom w:w="15" w:type="dxa"/>
        <w:right w:w="115" w:type="dxa"/>
      </w:tblCellMar>
    </w:tblPr>
  </w:style>
  <w:style w:type="table" w:customStyle="1" w:styleId="af">
    <w:basedOn w:val="TableNormalf2"/>
    <w:pPr>
      <w:spacing w:after="200" w:line="276" w:lineRule="auto"/>
    </w:pPr>
    <w:tblPr>
      <w:tblStyleRowBandSize w:val="1"/>
      <w:tblStyleColBandSize w:val="1"/>
      <w:tblCellMar>
        <w:top w:w="15" w:type="dxa"/>
        <w:left w:w="115" w:type="dxa"/>
        <w:bottom w:w="15" w:type="dxa"/>
        <w:right w:w="115" w:type="dxa"/>
      </w:tblCellMar>
    </w:tblPr>
  </w:style>
  <w:style w:type="table" w:customStyle="1" w:styleId="af0">
    <w:basedOn w:val="TableNormalf2"/>
    <w:pPr>
      <w:spacing w:after="200" w:line="276" w:lineRule="auto"/>
    </w:pPr>
    <w:tblPr>
      <w:tblStyleRowBandSize w:val="1"/>
      <w:tblStyleColBandSize w:val="1"/>
      <w:tblCellMar>
        <w:top w:w="15" w:type="dxa"/>
        <w:left w:w="115" w:type="dxa"/>
        <w:bottom w:w="15" w:type="dxa"/>
        <w:right w:w="115" w:type="dxa"/>
      </w:tblCellMar>
    </w:tblPr>
  </w:style>
  <w:style w:type="table" w:customStyle="1" w:styleId="af1">
    <w:basedOn w:val="TableNormalf2"/>
    <w:pPr>
      <w:spacing w:after="200" w:line="276" w:lineRule="auto"/>
    </w:pPr>
    <w:tblPr>
      <w:tblStyleRowBandSize w:val="1"/>
      <w:tblStyleColBandSize w:val="1"/>
      <w:tblCellMar>
        <w:top w:w="15" w:type="dxa"/>
        <w:left w:w="115" w:type="dxa"/>
        <w:bottom w:w="15" w:type="dxa"/>
        <w:right w:w="115" w:type="dxa"/>
      </w:tblCellMar>
    </w:tblPr>
  </w:style>
  <w:style w:type="table" w:customStyle="1" w:styleId="af2">
    <w:basedOn w:val="TableNormalf2"/>
    <w:pPr>
      <w:spacing w:after="200" w:line="276" w:lineRule="auto"/>
    </w:pPr>
    <w:tblPr>
      <w:tblStyleRowBandSize w:val="1"/>
      <w:tblStyleColBandSize w:val="1"/>
      <w:tblCellMar>
        <w:top w:w="15" w:type="dxa"/>
        <w:left w:w="115" w:type="dxa"/>
        <w:bottom w:w="15" w:type="dxa"/>
        <w:right w:w="115" w:type="dxa"/>
      </w:tblCellMar>
    </w:tblPr>
  </w:style>
  <w:style w:type="table" w:customStyle="1" w:styleId="af3">
    <w:basedOn w:val="TableNormalf2"/>
    <w:pPr>
      <w:spacing w:after="200" w:line="276" w:lineRule="auto"/>
    </w:pPr>
    <w:tblPr>
      <w:tblStyleRowBandSize w:val="1"/>
      <w:tblStyleColBandSize w:val="1"/>
      <w:tblCellMar>
        <w:top w:w="15" w:type="dxa"/>
        <w:left w:w="115" w:type="dxa"/>
        <w:bottom w:w="15" w:type="dxa"/>
        <w:right w:w="115" w:type="dxa"/>
      </w:tblCellMar>
    </w:tblPr>
  </w:style>
  <w:style w:type="table" w:customStyle="1" w:styleId="af4">
    <w:basedOn w:val="TableNormalf2"/>
    <w:pPr>
      <w:spacing w:after="200" w:line="276" w:lineRule="auto"/>
    </w:pPr>
    <w:tblPr>
      <w:tblStyleRowBandSize w:val="1"/>
      <w:tblStyleColBandSize w:val="1"/>
      <w:tblCellMar>
        <w:top w:w="15" w:type="dxa"/>
        <w:left w:w="115" w:type="dxa"/>
        <w:bottom w:w="15" w:type="dxa"/>
        <w:right w:w="115" w:type="dxa"/>
      </w:tblCellMar>
    </w:tblPr>
  </w:style>
  <w:style w:type="table" w:customStyle="1" w:styleId="af5">
    <w:basedOn w:val="TableNormalf2"/>
    <w:pPr>
      <w:spacing w:after="200" w:line="276" w:lineRule="auto"/>
    </w:pPr>
    <w:tblPr>
      <w:tblStyleRowBandSize w:val="1"/>
      <w:tblStyleColBandSize w:val="1"/>
      <w:tblCellMar>
        <w:top w:w="15" w:type="dxa"/>
        <w:left w:w="115" w:type="dxa"/>
        <w:bottom w:w="15" w:type="dxa"/>
        <w:right w:w="115" w:type="dxa"/>
      </w:tblCellMar>
    </w:tblPr>
  </w:style>
  <w:style w:type="table" w:customStyle="1" w:styleId="af6">
    <w:basedOn w:val="TableNormalf2"/>
    <w:pPr>
      <w:spacing w:after="200" w:line="276" w:lineRule="auto"/>
    </w:pPr>
    <w:tblPr>
      <w:tblStyleRowBandSize w:val="1"/>
      <w:tblStyleColBandSize w:val="1"/>
      <w:tblCellMar>
        <w:top w:w="15" w:type="dxa"/>
        <w:left w:w="115" w:type="dxa"/>
        <w:bottom w:w="15" w:type="dxa"/>
        <w:right w:w="115" w:type="dxa"/>
      </w:tblCellMar>
    </w:tblPr>
  </w:style>
  <w:style w:type="table" w:customStyle="1" w:styleId="af7">
    <w:basedOn w:val="TableNormalf2"/>
    <w:pPr>
      <w:spacing w:after="200" w:line="276" w:lineRule="auto"/>
    </w:pPr>
    <w:tblPr>
      <w:tblStyleRowBandSize w:val="1"/>
      <w:tblStyleColBandSize w:val="1"/>
      <w:tblCellMar>
        <w:top w:w="15" w:type="dxa"/>
        <w:left w:w="115" w:type="dxa"/>
        <w:bottom w:w="15" w:type="dxa"/>
        <w:right w:w="115" w:type="dxa"/>
      </w:tblCellMar>
    </w:tblPr>
  </w:style>
  <w:style w:type="table" w:customStyle="1" w:styleId="af8">
    <w:basedOn w:val="TableNormal0"/>
    <w:pPr>
      <w:spacing w:after="200" w:line="276" w:lineRule="auto"/>
    </w:pPr>
    <w:tblPr>
      <w:tblStyleRowBandSize w:val="1"/>
      <w:tblStyleColBandSize w:val="1"/>
      <w:tblCellMar>
        <w:top w:w="15" w:type="dxa"/>
        <w:left w:w="115" w:type="dxa"/>
        <w:bottom w:w="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find=1&amp;text=%D1%8F%D0%BA%D1%89%D0%BE+%D1%82%D0%B0%D0%BA%D0%B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922-19?find=1&amp;text=%D1%8F%D0%BA%D1%89%D0%BE+%D1%82%D0%B0%D0%BA%D0%B5"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922-19?find=1&amp;text=%D1%8F%D0%BA%D1%89%D0%BE+%D1%82%D0%B0%D0%BA%D0%B5" TargetMode="External"/><Relationship Id="rId4" Type="http://schemas.openxmlformats.org/officeDocument/2006/relationships/settings" Target="settings.xml"/><Relationship Id="rId9" Type="http://schemas.openxmlformats.org/officeDocument/2006/relationships/hyperlink" Target="https://zakon.rada.gov.ua/laws/show/922-19?find=1&amp;text=%D1%8F%D0%BA%D1%89%D0%BE+%D1%82%D0%B0%D0%BA%D0%B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1e3jkaOhMZRO1/tVbltGcCRTtg==">CgMxLjAyCWguMzBqMHpsbDIJaC4xZm9iOXRlOAByITF4cjVONzZSMWNYcUZFVnUwc3J3M2VQTVdfM0ZpZnZPMQ==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38361</Words>
  <Characters>21867</Characters>
  <Application>Microsoft Office Word</Application>
  <DocSecurity>0</DocSecurity>
  <Lines>182</Lines>
  <Paragraphs>120</Paragraphs>
  <ScaleCrop>false</ScaleCrop>
  <Company/>
  <LinksUpToDate>false</LinksUpToDate>
  <CharactersWithSpaces>60108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2024-01-29T11:08:00Z</dcterms:created>
  <dcterms:modified xsi:type="dcterms:W3CDTF">2024-04-23T08:32:00Z</dcterms:modified>
</cp:coreProperties>
</file>