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9271" w14:textId="7B490836" w:rsidR="00481B0D" w:rsidRPr="00481B0D" w:rsidRDefault="00481B0D" w:rsidP="0048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right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Cs/>
          <w:sz w:val="24"/>
          <w:szCs w:val="24"/>
          <w:lang w:val="uk-UA" w:eastAsia="ru-RU"/>
        </w:rPr>
        <w:t>Додаток № 2</w:t>
      </w:r>
    </w:p>
    <w:p w14:paraId="342B741B" w14:textId="77777777" w:rsidR="00481B0D" w:rsidRPr="00AF1196" w:rsidRDefault="00481B0D" w:rsidP="0048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F119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ТЕХНІЧНА СПЕЦИФІКАЦІЯ </w:t>
      </w:r>
    </w:p>
    <w:p w14:paraId="0211F592" w14:textId="77777777" w:rsidR="00481B0D" w:rsidRDefault="00481B0D" w:rsidP="00481B0D">
      <w:pPr>
        <w:spacing w:after="0" w:line="240" w:lineRule="auto"/>
        <w:ind w:left="1134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5A1DE7">
        <w:rPr>
          <w:rFonts w:ascii="Times New Roman" w:hAnsi="Times New Roman"/>
          <w:sz w:val="24"/>
          <w:szCs w:val="24"/>
        </w:rPr>
        <w:t>(МЕДИКО-ТЕХНІЧНІ ВИМОГИ - МТВ)</w:t>
      </w:r>
    </w:p>
    <w:p w14:paraId="060699A4" w14:textId="3A89B009" w:rsidR="00481B0D" w:rsidRPr="0047053A" w:rsidRDefault="00481B0D" w:rsidP="00481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Щодо закупівлі </w:t>
      </w:r>
      <w:r w:rsidRPr="000A5ACB">
        <w:rPr>
          <w:rFonts w:ascii="Times New Roman" w:hAnsi="Times New Roman"/>
          <w:b/>
          <w:sz w:val="24"/>
          <w:szCs w:val="24"/>
          <w:lang w:val="uk-UA"/>
        </w:rPr>
        <w:t>Лабораторні реактиви ДК 021:2015: 33690000-3 - Лікарські засоби різні</w:t>
      </w:r>
    </w:p>
    <w:p w14:paraId="4640D384" w14:textId="77777777" w:rsidR="00481B0D" w:rsidRPr="000C3536" w:rsidRDefault="00481B0D" w:rsidP="00481B0D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0C3536">
        <w:rPr>
          <w:rFonts w:ascii="Times New Roman" w:hAnsi="Times New Roman"/>
          <w:bCs/>
          <w:color w:val="000000"/>
          <w:sz w:val="24"/>
          <w:szCs w:val="24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3FFF3C7F" w14:textId="77777777" w:rsidR="00481B0D" w:rsidRPr="003F60C5" w:rsidRDefault="00481B0D" w:rsidP="00481B0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0C5">
        <w:rPr>
          <w:rFonts w:ascii="Times New Roman" w:hAnsi="Times New Roman"/>
          <w:bCs/>
          <w:iCs/>
          <w:sz w:val="24"/>
          <w:szCs w:val="24"/>
        </w:rPr>
        <w:t xml:space="preserve">1)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Довідка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з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детальним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описом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товару, про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джерело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походження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товару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із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зазначенням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країни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походження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та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назви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товаровиробника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на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товари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що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пропонується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>.</w:t>
      </w:r>
    </w:p>
    <w:p w14:paraId="3DC09E9E" w14:textId="77777777" w:rsidR="00481B0D" w:rsidRPr="003F60C5" w:rsidRDefault="00481B0D" w:rsidP="00481B0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0C5">
        <w:rPr>
          <w:rFonts w:ascii="Times New Roman" w:hAnsi="Times New Roman"/>
          <w:bCs/>
          <w:iCs/>
          <w:sz w:val="24"/>
          <w:szCs w:val="24"/>
        </w:rPr>
        <w:t xml:space="preserve">2)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Довідку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в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довільній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формі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про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наявність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сертифікатів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якості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(паспорта)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виробника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або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іншого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подібного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документу,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що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підтверджує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відповідність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товару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вимогам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встановлених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до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нього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загальнообов’язковими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на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території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України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нормами і правилами/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або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лист-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пояснення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якщо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на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даний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товар не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передбачено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вище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зазначені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документи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з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посиланням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на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нормативні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акти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>.</w:t>
      </w:r>
    </w:p>
    <w:p w14:paraId="2191DC02" w14:textId="77777777" w:rsidR="00481B0D" w:rsidRPr="008C3C6A" w:rsidRDefault="00481B0D" w:rsidP="00481B0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F60C5">
        <w:rPr>
          <w:rFonts w:ascii="Times New Roman" w:hAnsi="Times New Roman"/>
          <w:bCs/>
          <w:iCs/>
          <w:sz w:val="24"/>
          <w:szCs w:val="24"/>
        </w:rPr>
        <w:t xml:space="preserve">3) У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складі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своєї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тендерної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пропозиції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Учасник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повинен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надати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оригінал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гарантійного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листа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виробника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уповноваженого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представника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представництва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філії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C3C6A">
        <w:rPr>
          <w:rFonts w:ascii="Times New Roman" w:hAnsi="Times New Roman"/>
          <w:b/>
          <w:bCs/>
          <w:iCs/>
          <w:sz w:val="24"/>
          <w:szCs w:val="24"/>
        </w:rPr>
        <w:t>або</w:t>
      </w:r>
      <w:proofErr w:type="spellEnd"/>
      <w:r w:rsidRPr="008C3C6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gramStart"/>
      <w:r w:rsidRPr="008C3C6A">
        <w:rPr>
          <w:rFonts w:ascii="Times New Roman" w:hAnsi="Times New Roman"/>
          <w:b/>
          <w:bCs/>
          <w:iCs/>
          <w:sz w:val="24"/>
          <w:szCs w:val="24"/>
          <w:lang w:val="uk-UA"/>
        </w:rPr>
        <w:t>дистриб’ютора,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якщо</w:t>
      </w:r>
      <w:proofErr w:type="spellEnd"/>
      <w:proofErr w:type="gram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їх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відповідні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повноваження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поширюються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на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територію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України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),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яким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підтверджується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можливість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поставки предмету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цієї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закупівлі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у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необхідній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кількості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якості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та у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потрібні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терміни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виданим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із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зазначенням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замовника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торгів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та номером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закупівлі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що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опубліковане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в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Prozorro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Якщо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гарантійний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лист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видається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не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виробником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у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складі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тендерної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пропозиції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Учасник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повинен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надати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документи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що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підтверджують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повноваження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представника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представництва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філії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, </w:t>
      </w:r>
      <w:r w:rsidRPr="008C3C6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або </w:t>
      </w:r>
      <w:proofErr w:type="gramStart"/>
      <w:r w:rsidRPr="008C3C6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дистриб’ютора </w:t>
      </w:r>
      <w:r w:rsidRPr="008C3C6A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</w:p>
    <w:p w14:paraId="73B1EC93" w14:textId="77777777" w:rsidR="00481B0D" w:rsidRPr="003F60C5" w:rsidRDefault="00481B0D" w:rsidP="00481B0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0C5">
        <w:rPr>
          <w:rFonts w:ascii="Times New Roman" w:hAnsi="Times New Roman"/>
          <w:bCs/>
          <w:iCs/>
          <w:sz w:val="24"/>
          <w:szCs w:val="24"/>
        </w:rPr>
        <w:t xml:space="preserve">4)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Термін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придатності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товару на момент поставки повинен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становити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не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менше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80%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від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загального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терміну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придатності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надати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гарантійний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лист).</w:t>
      </w:r>
    </w:p>
    <w:p w14:paraId="0BCDB7EB" w14:textId="77777777" w:rsidR="00481B0D" w:rsidRDefault="00481B0D" w:rsidP="00481B0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F60C5">
        <w:rPr>
          <w:rFonts w:ascii="Times New Roman" w:hAnsi="Times New Roman"/>
          <w:bCs/>
          <w:iCs/>
          <w:sz w:val="24"/>
          <w:szCs w:val="24"/>
        </w:rPr>
        <w:t xml:space="preserve">5)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Довідка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в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довільній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формі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, яка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містить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інформацію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про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можливість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здійснення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поставки товару не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пізніше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як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протягом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3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діб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з моменту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письмового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60C5">
        <w:rPr>
          <w:rFonts w:ascii="Times New Roman" w:hAnsi="Times New Roman"/>
          <w:bCs/>
          <w:iCs/>
          <w:sz w:val="24"/>
          <w:szCs w:val="24"/>
        </w:rPr>
        <w:t>замовлення</w:t>
      </w:r>
      <w:proofErr w:type="spellEnd"/>
      <w:r w:rsidRPr="003F60C5">
        <w:rPr>
          <w:rFonts w:ascii="Times New Roman" w:hAnsi="Times New Roman"/>
          <w:bCs/>
          <w:iCs/>
          <w:sz w:val="24"/>
          <w:szCs w:val="24"/>
        </w:rPr>
        <w:t xml:space="preserve"> товару</w:t>
      </w:r>
    </w:p>
    <w:tbl>
      <w:tblPr>
        <w:tblW w:w="10747" w:type="dxa"/>
        <w:tblInd w:w="-15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1"/>
        <w:gridCol w:w="829"/>
        <w:gridCol w:w="3402"/>
        <w:gridCol w:w="850"/>
        <w:gridCol w:w="5245"/>
      </w:tblGrid>
      <w:tr w:rsidR="00E411D5" w14:paraId="10A95223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856035" w14:textId="77777777" w:rsidR="00E411D5" w:rsidRPr="00E411D5" w:rsidRDefault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14:paraId="29C89571" w14:textId="77777777" w:rsidR="00E411D5" w:rsidRPr="00E411D5" w:rsidRDefault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19CEC5" w14:textId="77777777" w:rsidR="00E411D5" w:rsidRPr="00E411D5" w:rsidRDefault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Коди НК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E1050" w14:textId="77777777" w:rsidR="00E411D5" w:rsidRDefault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1D5">
              <w:rPr>
                <w:rFonts w:ascii="Times New Roman" w:hAnsi="Times New Roman"/>
                <w:sz w:val="20"/>
                <w:szCs w:val="20"/>
              </w:rPr>
              <w:t>реагенту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64C878" w14:textId="77777777" w:rsidR="00E411D5" w:rsidRPr="00E411D5" w:rsidRDefault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6B83BA" w14:textId="77777777" w:rsidR="00E411D5" w:rsidRDefault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Медико-технічні вимоги</w:t>
            </w:r>
          </w:p>
        </w:tc>
      </w:tr>
      <w:tr w:rsidR="00E411D5" w14:paraId="18198A2F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C0BAD7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CCB7CD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52875</w:t>
            </w:r>
          </w:p>
          <w:p w14:paraId="6EB40A50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FC8CE9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Кальцій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</w:t>
            </w:r>
            <w:r w:rsidRPr="00E411D5"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E411D5"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B68535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2135CB" w14:textId="77777777" w:rsid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Фотометричний тест для визначення кальцію. Метод CPC зі стандартом у наборі. Довжина хвилі: 570 нм, 578 нм; 546 нм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Фасування: 200 мл. Повний набір, не потребує додаткових матеріалів. Можливість тестування при температурі  25°C.</w:t>
            </w:r>
          </w:p>
        </w:tc>
      </w:tr>
      <w:tr w:rsidR="00E411D5" w14:paraId="4B7D1475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D6F3F5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59D167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63410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C31643" w14:textId="77777777" w:rsid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Холестерин,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реагентів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39EADE" w14:textId="77777777" w:rsid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F44162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Фотометричний, колориметричний тест для визначення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холестеролу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фактором просвітлення ліпідів. Можливість проведення тесту при температурі 20-25°C, 37°C.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Фасування 3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0 мл</w:t>
            </w:r>
          </w:p>
        </w:tc>
      </w:tr>
      <w:tr w:rsidR="00E411D5" w14:paraId="5EFAEC82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86ADC3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C4E2D7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53252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3F1324" w14:textId="77777777" w:rsid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Креатинін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</w:t>
            </w:r>
            <w:r w:rsidRPr="00E411D5"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E411D5"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CE3F66" w14:textId="77777777" w:rsid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62E514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Фотометричний, колориметричний тест для здійснення кінетичних вимірювань, 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без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депротеїнізації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Реакція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Яффе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автоматичного  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ох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чного  аналізатора. Фасування: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стандарт у складі набору</w:t>
            </w:r>
          </w:p>
        </w:tc>
      </w:tr>
      <w:tr w:rsidR="00E411D5" w14:paraId="2BF685FF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501290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E50843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53590</w:t>
            </w:r>
          </w:p>
          <w:p w14:paraId="527AC609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0C1CFD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Сечовина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</w:t>
            </w:r>
            <w:r w:rsidRPr="00E411D5"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E411D5"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C0E7F5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8F77DF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Ферментний, колориметричний тест для визначення сечовини (бертолетовий метод). Стандарт у склад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набор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. Фасування 200 мл</w:t>
            </w:r>
          </w:p>
        </w:tc>
      </w:tr>
      <w:tr w:rsidR="00E411D5" w14:paraId="4FB11112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7F5544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F6CC12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53599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FFBB7B" w14:textId="77777777" w:rsid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Альбумін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реагентів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C861EF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61D83B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Фотометрич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ий колориметрич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ий тест для вимірювання альбуміну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методом BCG. Можливість тестування при температурі  25°C. Фасування: 1000 мл. Стандарт у складі набору.</w:t>
            </w:r>
          </w:p>
        </w:tc>
      </w:tr>
      <w:tr w:rsidR="00E411D5" w14:paraId="53D87E44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E8BDDF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C90827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53989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4A8879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Загальний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білок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реагентів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626EA8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3C2808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Фотометричний, колориметричний тест для визначення загального протеїну зі стандартом у наборі.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Біуретовий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метод.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Фасування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1000 мл.</w:t>
            </w:r>
          </w:p>
        </w:tc>
      </w:tr>
      <w:tr w:rsidR="00E411D5" w14:paraId="13BE9090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70DBDB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AF42A5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53586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9C5E80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Сечова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 кислота,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реагентів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E234EF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1585E5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Фотометричний, колориметричний ПАП-тест для визначення сечової кислоти з фактором просвітлення ліпідів. Можливість проведення тесту при температурі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20-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25°C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37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°C.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Фасування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4х100 мл</w:t>
            </w:r>
          </w:p>
        </w:tc>
      </w:tr>
      <w:tr w:rsidR="00E411D5" w14:paraId="6A914F59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BCAD25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4B2D33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63410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11BF51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Білірубін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прямий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реагентів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E54C56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AE44C6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Фотометричний тест для визначення прямого та загального білірубіну.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етод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Йе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ндрас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ка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-Грофа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його модифікація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фасування 200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тестування при температурі  25°C.</w:t>
            </w:r>
          </w:p>
        </w:tc>
      </w:tr>
      <w:tr w:rsidR="00E411D5" w14:paraId="586A274C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9DE6FE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B37A10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63410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5E7ED8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Білірубін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реагентів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3505CE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2C6183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Фотометричний колориметричний тест для визначення</w:t>
            </w:r>
          </w:p>
          <w:p w14:paraId="09A5C8D8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загального білірубіну. Метод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Метод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DCA, фасування 200 мл. Можливість тестування</w:t>
            </w:r>
          </w:p>
          <w:p w14:paraId="3816A950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при температурі 25°C.</w:t>
            </w:r>
          </w:p>
        </w:tc>
      </w:tr>
      <w:tr w:rsidR="00E411D5" w14:paraId="0F7631A1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726227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2C604F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52955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77B780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Аспартат-амінотрансфераза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(АС</w:t>
            </w:r>
            <w:r w:rsidRPr="00E411D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реагентів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C78CA2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6AE23E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Кінетичний метод визначення активності ACAT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рекомендаціями IFCC.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етод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без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активації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піридоксальфосфату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. Можливість тестування при температурі  25°C. Фасування: 8х50 мл</w:t>
            </w:r>
          </w:p>
        </w:tc>
      </w:tr>
      <w:tr w:rsidR="00E411D5" w14:paraId="07941513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5A9D71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56DB7B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52925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2ED8F3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Аланін-амінотрансфераза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(АЛ</w:t>
            </w:r>
            <w:r w:rsidRPr="00E411D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реагентів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459EE6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ED8F01" w14:textId="77777777" w:rsid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Кінетичний метод визначення активності A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AT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рекомендаціями IFCC.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етод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без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активації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піридоксальфосфату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. Можливість тестування при температурі  25°C. Фасування: 8х50 мл</w:t>
            </w:r>
          </w:p>
        </w:tc>
      </w:tr>
      <w:tr w:rsidR="00E411D5" w14:paraId="01ED9120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F9292E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ADBB27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53030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1A128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Гамма-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глутаміктрансфераза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411D5">
              <w:rPr>
                <w:rFonts w:ascii="Times New Roman" w:hAnsi="Times New Roman"/>
                <w:sz w:val="20"/>
                <w:szCs w:val="20"/>
              </w:rPr>
              <w:t>ГГТ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реагентів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C05B23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754539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Кінетичний, колориметричний метод визначення активності ГГТ  (за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Персейном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Ван-дер-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ліком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). Стандартизований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IFCC. Фасування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0 мл.</w:t>
            </w:r>
          </w:p>
        </w:tc>
      </w:tr>
      <w:tr w:rsidR="00E411D5" w14:paraId="4F99AA02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E51DF1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BA6B91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52929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BD48F5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Лужна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фосфатаза,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реагентів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A4AA15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1DC19E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Набір реагентів для вимірювання лужної фосфатази DGKC. Довжина хвилі 405 нм. Можливість проведення тесту при температурі 25°С та 37°С. Фасування 8х50 мл.</w:t>
            </w:r>
          </w:p>
        </w:tc>
      </w:tr>
      <w:tr w:rsidR="00E411D5" w14:paraId="3C346E19" w14:textId="77777777" w:rsidTr="00E411D5">
        <w:trPr>
          <w:trHeight w:val="8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1BDFDF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68635A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52941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B83868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Альфа-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амілаза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</w:rPr>
              <w:t>реагентів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58B6E9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6DED46" w14:textId="77777777" w:rsidR="00E411D5" w:rsidRPr="00E411D5" w:rsidRDefault="00E411D5" w:rsidP="00E411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Колориметричний </w:t>
            </w:r>
            <w:proofErr w:type="spellStart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морореагент</w:t>
            </w:r>
            <w:proofErr w:type="spellEnd"/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визначення альфа-ам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>лази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довжин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хвилі 40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5нм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Можливість тестування при температурі  25 та 37 °C.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Фасування</w:t>
            </w:r>
            <w:r w:rsidRPr="00E411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6х50 мл.  </w:t>
            </w:r>
          </w:p>
        </w:tc>
      </w:tr>
    </w:tbl>
    <w:p w14:paraId="3E3C87C0" w14:textId="77777777" w:rsidR="00F15B58" w:rsidRDefault="00F15B58" w:rsidP="00481B0D">
      <w:pPr>
        <w:widowControl w:val="0"/>
        <w:tabs>
          <w:tab w:val="left" w:pos="840"/>
        </w:tabs>
        <w:suppressAutoHyphens w:val="0"/>
        <w:spacing w:after="0" w:line="240" w:lineRule="auto"/>
        <w:jc w:val="right"/>
        <w:rPr>
          <w:rStyle w:val="docdata"/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1594BCDD" w14:textId="77777777" w:rsidR="00481B0D" w:rsidRDefault="00481B0D">
      <w:pPr>
        <w:widowControl w:val="0"/>
        <w:tabs>
          <w:tab w:val="left" w:pos="840"/>
        </w:tabs>
        <w:suppressAutoHyphens w:val="0"/>
        <w:spacing w:after="0" w:line="240" w:lineRule="auto"/>
        <w:jc w:val="right"/>
        <w:rPr>
          <w:rStyle w:val="docdata"/>
          <w:rFonts w:ascii="Times New Roman" w:hAnsi="Times New Roman"/>
          <w:b/>
          <w:bCs/>
          <w:color w:val="000000"/>
          <w:sz w:val="20"/>
          <w:szCs w:val="20"/>
        </w:rPr>
      </w:pPr>
    </w:p>
    <w:p w14:paraId="02409397" w14:textId="77777777" w:rsidR="00FF746E" w:rsidRPr="00066501" w:rsidRDefault="00FF746E" w:rsidP="00FF746E">
      <w:pPr>
        <w:jc w:val="both"/>
        <w:rPr>
          <w:rFonts w:ascii="Times New Roman" w:hAnsi="Times New Roman"/>
          <w:i/>
          <w:lang w:val="uk-UA"/>
        </w:rPr>
      </w:pPr>
      <w:r w:rsidRPr="00FD651F">
        <w:rPr>
          <w:rFonts w:ascii="Times New Roman" w:hAnsi="Times New Roman"/>
          <w:b/>
          <w:i/>
          <w:lang w:val="uk-UA"/>
        </w:rPr>
        <w:lastRenderedPageBreak/>
        <w:t>*</w:t>
      </w:r>
      <w:r w:rsidRPr="00FD651F">
        <w:rPr>
          <w:rFonts w:ascii="Times New Roman" w:hAnsi="Times New Roman"/>
          <w:i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FD651F">
        <w:rPr>
          <w:rFonts w:ascii="Times New Roman" w:hAnsi="Times New Roman"/>
          <w:b/>
          <w:i/>
          <w:lang w:val="uk-UA"/>
        </w:rPr>
        <w:t xml:space="preserve"> «або еквівалент», </w:t>
      </w:r>
      <w:r w:rsidRPr="00FD651F">
        <w:rPr>
          <w:rFonts w:ascii="Times New Roman" w:hAnsi="Times New Roman"/>
          <w:bCs/>
          <w:i/>
          <w:lang w:val="uk-UA"/>
        </w:rPr>
        <w:t xml:space="preserve">в </w:t>
      </w:r>
      <w:r w:rsidRPr="00FD651F">
        <w:rPr>
          <w:rFonts w:ascii="Times New Roman" w:hAnsi="Times New Roman"/>
          <w:i/>
          <w:lang w:val="uk-UA"/>
        </w:rPr>
        <w:t>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вказаного в МТВ з відомостями щодо відповідності вимогам Замовника.</w:t>
      </w:r>
    </w:p>
    <w:p w14:paraId="3F6AE0D8" w14:textId="77777777" w:rsidR="00FF746E" w:rsidRPr="00FF746E" w:rsidRDefault="00FF746E">
      <w:pPr>
        <w:widowControl w:val="0"/>
        <w:tabs>
          <w:tab w:val="left" w:pos="840"/>
        </w:tabs>
        <w:suppressAutoHyphens w:val="0"/>
        <w:spacing w:after="0" w:line="240" w:lineRule="auto"/>
        <w:jc w:val="right"/>
        <w:rPr>
          <w:rStyle w:val="docdata"/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sectPr w:rsidR="00FF746E" w:rsidRPr="00FF746E" w:rsidSect="0072334E">
      <w:headerReference w:type="default" r:id="rId8"/>
      <w:footerReference w:type="default" r:id="rId9"/>
      <w:pgSz w:w="11906" w:h="16838"/>
      <w:pgMar w:top="766" w:right="851" w:bottom="567" w:left="1134" w:header="709" w:footer="4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B2208" w14:textId="77777777" w:rsidR="00B12170" w:rsidRDefault="00B12170">
      <w:pPr>
        <w:spacing w:after="0" w:line="240" w:lineRule="auto"/>
      </w:pPr>
      <w:r>
        <w:separator/>
      </w:r>
    </w:p>
  </w:endnote>
  <w:endnote w:type="continuationSeparator" w:id="0">
    <w:p w14:paraId="1E4C6B4A" w14:textId="77777777" w:rsidR="00B12170" w:rsidRDefault="00B1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AE215" w14:textId="77777777" w:rsidR="00316998" w:rsidRDefault="00316998">
    <w:pPr>
      <w:overflowPunct w:val="0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34DF1" w14:textId="77777777" w:rsidR="00B12170" w:rsidRDefault="00B12170">
      <w:pPr>
        <w:spacing w:after="0" w:line="240" w:lineRule="auto"/>
      </w:pPr>
      <w:r>
        <w:separator/>
      </w:r>
    </w:p>
  </w:footnote>
  <w:footnote w:type="continuationSeparator" w:id="0">
    <w:p w14:paraId="1CE50A8A" w14:textId="77777777" w:rsidR="00B12170" w:rsidRDefault="00B1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D88B2" w14:textId="77777777" w:rsidR="00316998" w:rsidRDefault="00316998">
    <w:pPr>
      <w:spacing w:after="0" w:line="36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BE2"/>
    <w:multiLevelType w:val="multilevel"/>
    <w:tmpl w:val="AAC24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98"/>
    <w:rsid w:val="000208BB"/>
    <w:rsid w:val="00023BDB"/>
    <w:rsid w:val="00053EE4"/>
    <w:rsid w:val="00067813"/>
    <w:rsid w:val="000700F0"/>
    <w:rsid w:val="000B2EF2"/>
    <w:rsid w:val="000B603C"/>
    <w:rsid w:val="000C4B9E"/>
    <w:rsid w:val="000C636B"/>
    <w:rsid w:val="000F7A0E"/>
    <w:rsid w:val="001006C0"/>
    <w:rsid w:val="00103160"/>
    <w:rsid w:val="0011503C"/>
    <w:rsid w:val="00130780"/>
    <w:rsid w:val="001528F6"/>
    <w:rsid w:val="0015332B"/>
    <w:rsid w:val="0015677D"/>
    <w:rsid w:val="00156BB1"/>
    <w:rsid w:val="00161C29"/>
    <w:rsid w:val="00165685"/>
    <w:rsid w:val="001839F4"/>
    <w:rsid w:val="00191C60"/>
    <w:rsid w:val="001A3271"/>
    <w:rsid w:val="001D6172"/>
    <w:rsid w:val="001E1113"/>
    <w:rsid w:val="00202EAE"/>
    <w:rsid w:val="00205DEF"/>
    <w:rsid w:val="002372E3"/>
    <w:rsid w:val="00245092"/>
    <w:rsid w:val="00256661"/>
    <w:rsid w:val="00261626"/>
    <w:rsid w:val="00287D68"/>
    <w:rsid w:val="0029514B"/>
    <w:rsid w:val="002B3308"/>
    <w:rsid w:val="002D005D"/>
    <w:rsid w:val="002D77AB"/>
    <w:rsid w:val="003056CE"/>
    <w:rsid w:val="00316998"/>
    <w:rsid w:val="00333C6E"/>
    <w:rsid w:val="00341D2C"/>
    <w:rsid w:val="00345D63"/>
    <w:rsid w:val="00351853"/>
    <w:rsid w:val="00354FC0"/>
    <w:rsid w:val="00375197"/>
    <w:rsid w:val="00383533"/>
    <w:rsid w:val="003A59B3"/>
    <w:rsid w:val="003C6D97"/>
    <w:rsid w:val="003C709B"/>
    <w:rsid w:val="003C79C8"/>
    <w:rsid w:val="003D35F5"/>
    <w:rsid w:val="003E39EC"/>
    <w:rsid w:val="003E6F89"/>
    <w:rsid w:val="003F2BF6"/>
    <w:rsid w:val="00407A1B"/>
    <w:rsid w:val="00422732"/>
    <w:rsid w:val="00442209"/>
    <w:rsid w:val="00451D45"/>
    <w:rsid w:val="00451D83"/>
    <w:rsid w:val="00454908"/>
    <w:rsid w:val="0046491C"/>
    <w:rsid w:val="00470E08"/>
    <w:rsid w:val="004719DE"/>
    <w:rsid w:val="0047220C"/>
    <w:rsid w:val="00481B0D"/>
    <w:rsid w:val="00481FB2"/>
    <w:rsid w:val="004C1E62"/>
    <w:rsid w:val="004C30CA"/>
    <w:rsid w:val="004C34BB"/>
    <w:rsid w:val="004C5E76"/>
    <w:rsid w:val="004E3BFA"/>
    <w:rsid w:val="004F0FC6"/>
    <w:rsid w:val="004F134E"/>
    <w:rsid w:val="004F33BC"/>
    <w:rsid w:val="004F4418"/>
    <w:rsid w:val="00507152"/>
    <w:rsid w:val="005249D7"/>
    <w:rsid w:val="00554764"/>
    <w:rsid w:val="005837A4"/>
    <w:rsid w:val="00594C1B"/>
    <w:rsid w:val="00594F93"/>
    <w:rsid w:val="005A6662"/>
    <w:rsid w:val="005B4E4B"/>
    <w:rsid w:val="006020E1"/>
    <w:rsid w:val="00647BCA"/>
    <w:rsid w:val="006617D5"/>
    <w:rsid w:val="006754E6"/>
    <w:rsid w:val="006A27BA"/>
    <w:rsid w:val="006C5F4F"/>
    <w:rsid w:val="006E0F65"/>
    <w:rsid w:val="0070264B"/>
    <w:rsid w:val="0072334E"/>
    <w:rsid w:val="0072440C"/>
    <w:rsid w:val="007371B6"/>
    <w:rsid w:val="00743EF3"/>
    <w:rsid w:val="00746C9E"/>
    <w:rsid w:val="00794310"/>
    <w:rsid w:val="007A2F78"/>
    <w:rsid w:val="007A6121"/>
    <w:rsid w:val="007B5A5C"/>
    <w:rsid w:val="007C24EB"/>
    <w:rsid w:val="007D2DC1"/>
    <w:rsid w:val="007E44A1"/>
    <w:rsid w:val="007F6F68"/>
    <w:rsid w:val="00800F92"/>
    <w:rsid w:val="00806D8D"/>
    <w:rsid w:val="008173E0"/>
    <w:rsid w:val="008545FF"/>
    <w:rsid w:val="008963B7"/>
    <w:rsid w:val="008C0CE1"/>
    <w:rsid w:val="008C5C22"/>
    <w:rsid w:val="008D6E52"/>
    <w:rsid w:val="008F34BF"/>
    <w:rsid w:val="00916A2F"/>
    <w:rsid w:val="009373AE"/>
    <w:rsid w:val="009520E8"/>
    <w:rsid w:val="00964BE7"/>
    <w:rsid w:val="009839B8"/>
    <w:rsid w:val="00984593"/>
    <w:rsid w:val="009A42BE"/>
    <w:rsid w:val="009B547D"/>
    <w:rsid w:val="009B60DD"/>
    <w:rsid w:val="009C5C49"/>
    <w:rsid w:val="009D26B8"/>
    <w:rsid w:val="009D2CED"/>
    <w:rsid w:val="009E6BD4"/>
    <w:rsid w:val="009F4171"/>
    <w:rsid w:val="009F579E"/>
    <w:rsid w:val="00A17987"/>
    <w:rsid w:val="00A33B93"/>
    <w:rsid w:val="00A33D0E"/>
    <w:rsid w:val="00A43DBC"/>
    <w:rsid w:val="00A75773"/>
    <w:rsid w:val="00AC3D0A"/>
    <w:rsid w:val="00AE4E2E"/>
    <w:rsid w:val="00AF2DBB"/>
    <w:rsid w:val="00B12170"/>
    <w:rsid w:val="00B245AA"/>
    <w:rsid w:val="00B257F4"/>
    <w:rsid w:val="00B27584"/>
    <w:rsid w:val="00B408C1"/>
    <w:rsid w:val="00B414D4"/>
    <w:rsid w:val="00B452AB"/>
    <w:rsid w:val="00BA6791"/>
    <w:rsid w:val="00BB5EB5"/>
    <w:rsid w:val="00BD700B"/>
    <w:rsid w:val="00BE54B1"/>
    <w:rsid w:val="00C1502C"/>
    <w:rsid w:val="00C32931"/>
    <w:rsid w:val="00C32BA5"/>
    <w:rsid w:val="00C37F00"/>
    <w:rsid w:val="00C41450"/>
    <w:rsid w:val="00C46F65"/>
    <w:rsid w:val="00C95F04"/>
    <w:rsid w:val="00CA27A0"/>
    <w:rsid w:val="00CB72B2"/>
    <w:rsid w:val="00CC1944"/>
    <w:rsid w:val="00D2622A"/>
    <w:rsid w:val="00D34799"/>
    <w:rsid w:val="00D43709"/>
    <w:rsid w:val="00D46CDD"/>
    <w:rsid w:val="00D53F69"/>
    <w:rsid w:val="00D70798"/>
    <w:rsid w:val="00D77C1B"/>
    <w:rsid w:val="00D848FB"/>
    <w:rsid w:val="00D92EB8"/>
    <w:rsid w:val="00D951E9"/>
    <w:rsid w:val="00D95B1F"/>
    <w:rsid w:val="00DA7296"/>
    <w:rsid w:val="00DC49DF"/>
    <w:rsid w:val="00DD2FFC"/>
    <w:rsid w:val="00DD61EC"/>
    <w:rsid w:val="00E17258"/>
    <w:rsid w:val="00E25201"/>
    <w:rsid w:val="00E400C4"/>
    <w:rsid w:val="00E411D5"/>
    <w:rsid w:val="00E434D5"/>
    <w:rsid w:val="00EA0227"/>
    <w:rsid w:val="00EA0795"/>
    <w:rsid w:val="00EA1266"/>
    <w:rsid w:val="00EA4489"/>
    <w:rsid w:val="00EC2D9E"/>
    <w:rsid w:val="00EC646F"/>
    <w:rsid w:val="00ED3AD0"/>
    <w:rsid w:val="00EE2E39"/>
    <w:rsid w:val="00EE50CA"/>
    <w:rsid w:val="00EF1041"/>
    <w:rsid w:val="00EF3746"/>
    <w:rsid w:val="00F15B58"/>
    <w:rsid w:val="00F22BCE"/>
    <w:rsid w:val="00F3363B"/>
    <w:rsid w:val="00F50BF8"/>
    <w:rsid w:val="00F8042B"/>
    <w:rsid w:val="00F90E1B"/>
    <w:rsid w:val="00FA084B"/>
    <w:rsid w:val="00FA7F43"/>
    <w:rsid w:val="00FC5A27"/>
    <w:rsid w:val="00FC5B58"/>
    <w:rsid w:val="00FD478A"/>
    <w:rsid w:val="00FD6C8E"/>
    <w:rsid w:val="00FF580C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20F2"/>
  <w15:docId w15:val="{B45D043D-AC69-4399-8106-992E5B53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1"/>
    <w:qFormat/>
    <w:pPr>
      <w:numPr>
        <w:ilvl w:val="1"/>
        <w:numId w:val="1"/>
      </w:num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ListLabel1">
    <w:name w:val="ListLabel 1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2">
    <w:name w:val="ListLabel 2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3">
    <w:name w:val="ListLabel 3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4">
    <w:name w:val="ListLabel 4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5">
    <w:name w:val="ListLabel 5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6">
    <w:name w:val="ListLabel 6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7">
    <w:name w:val="ListLabel 7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8">
    <w:name w:val="ListLabel 8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9">
    <w:name w:val="ListLabel 9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10">
    <w:name w:val="ListLabel 10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11">
    <w:name w:val="ListLabel 11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12">
    <w:name w:val="ListLabel 12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13">
    <w:name w:val="ListLabel 13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14">
    <w:name w:val="ListLabel 14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15">
    <w:name w:val="ListLabel 15"/>
    <w:qFormat/>
    <w:rPr>
      <w:rFonts w:cs="Calibri"/>
      <w:iCs/>
      <w:color w:val="1C1C1C"/>
      <w:kern w:val="2"/>
      <w:sz w:val="18"/>
      <w:lang w:val="en-US" w:eastAsia="zh-CN"/>
    </w:rPr>
  </w:style>
  <w:style w:type="character" w:customStyle="1" w:styleId="ListLabel16">
    <w:name w:val="ListLabel 16"/>
    <w:qFormat/>
    <w:rPr>
      <w:rFonts w:cs="Calibri"/>
      <w:iCs/>
      <w:color w:val="1C1C1C"/>
      <w:kern w:val="2"/>
      <w:sz w:val="18"/>
      <w:lang w:val="en-US" w:eastAsia="zh-CN"/>
    </w:rPr>
  </w:style>
  <w:style w:type="character" w:styleId="a6">
    <w:name w:val="Hyperlink"/>
    <w:basedOn w:val="a0"/>
    <w:uiPriority w:val="99"/>
    <w:semiHidden/>
    <w:unhideWhenUsed/>
    <w:rsid w:val="00B95FC2"/>
    <w:rPr>
      <w:color w:val="0000FF"/>
      <w:u w:val="single"/>
    </w:rPr>
  </w:style>
  <w:style w:type="character" w:customStyle="1" w:styleId="ListLabel17">
    <w:name w:val="ListLabel 17"/>
    <w:qFormat/>
    <w:rPr>
      <w:rFonts w:cs="Calibri"/>
      <w:iCs/>
      <w:color w:val="1C1C1C"/>
      <w:kern w:val="2"/>
      <w:sz w:val="18"/>
      <w:lang w:val="en-US"/>
    </w:rPr>
  </w:style>
  <w:style w:type="character" w:customStyle="1" w:styleId="ListLabel18">
    <w:name w:val="ListLabel 18"/>
    <w:qFormat/>
    <w:rPr>
      <w:rFonts w:cs="Calibri"/>
      <w:iCs/>
      <w:color w:val="1C1C1C"/>
      <w:kern w:val="2"/>
      <w:sz w:val="18"/>
      <w:lang w:val="en-US"/>
    </w:rPr>
  </w:style>
  <w:style w:type="character" w:customStyle="1" w:styleId="ListLabel19">
    <w:name w:val="ListLabel 19"/>
    <w:qFormat/>
    <w:rPr>
      <w:rFonts w:cs="Calibri"/>
      <w:iCs/>
      <w:color w:val="1C1C1C"/>
      <w:kern w:val="2"/>
      <w:sz w:val="18"/>
      <w:lang w:val="en-US"/>
    </w:rPr>
  </w:style>
  <w:style w:type="character" w:customStyle="1" w:styleId="ListLabel20">
    <w:name w:val="ListLabel 20"/>
    <w:qFormat/>
    <w:rPr>
      <w:rFonts w:cs="Calibri"/>
      <w:iCs/>
      <w:color w:val="1C1C1C"/>
      <w:kern w:val="2"/>
      <w:sz w:val="18"/>
      <w:lang w:val="en-US"/>
    </w:rPr>
  </w:style>
  <w:style w:type="character" w:customStyle="1" w:styleId="ListLabel21">
    <w:name w:val="ListLabel 21"/>
    <w:qFormat/>
    <w:rPr>
      <w:rFonts w:cs="Calibri"/>
      <w:iCs/>
      <w:color w:val="1C1C1C"/>
      <w:kern w:val="2"/>
      <w:sz w:val="18"/>
      <w:lang w:val="en-US"/>
    </w:rPr>
  </w:style>
  <w:style w:type="character" w:customStyle="1" w:styleId="ListLabel22">
    <w:name w:val="ListLabel 22"/>
    <w:qFormat/>
    <w:rPr>
      <w:rFonts w:cs="Calibri"/>
      <w:iCs/>
      <w:color w:val="1C1C1C"/>
      <w:kern w:val="2"/>
      <w:sz w:val="18"/>
      <w:lang w:val="en-U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1">
    <w:name w:val="Table Grid"/>
    <w:basedOn w:val="a1"/>
    <w:uiPriority w:val="59"/>
    <w:rsid w:val="0015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14D4"/>
    <w:pPr>
      <w:suppressAutoHyphens/>
      <w:autoSpaceDN w:val="0"/>
      <w:textAlignment w:val="baseline"/>
    </w:pPr>
    <w:rPr>
      <w:rFonts w:cs="Mangal"/>
      <w:kern w:val="3"/>
      <w:sz w:val="24"/>
      <w:lang w:val="en-US"/>
    </w:rPr>
  </w:style>
  <w:style w:type="character" w:customStyle="1" w:styleId="docdata">
    <w:name w:val="docdata"/>
    <w:aliases w:val="docy,v5,2496,bqiaagaaeyqcaaagiaiaaandcqaabwsjaaaaaaaaaaaaaaaaaaaaaaaaaaaaaaaaaaaaaaaaaaaaaaaaaaaaaaaaaaaaaaaaaaaaaaaaaaaaaaaaaaaaaaaaaaaaaaaaaaaaaaaaaaaaaaaaaaaaaaaaaaaaaaaaaaaaaaaaaaaaaaaaaaaaaaaaaaaaaaaaaaaaaaaaaaaaaaaaaaaaaaaaaaaaaaaaaaaaaaaa"/>
    <w:basedOn w:val="a0"/>
    <w:rsid w:val="0046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3768-BBC5-4A17-85AA-CDD0B4FF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3381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Mcrl_sekretar</cp:lastModifiedBy>
  <cp:revision>174</cp:revision>
  <cp:lastPrinted>2023-02-02T10:12:00Z</cp:lastPrinted>
  <dcterms:created xsi:type="dcterms:W3CDTF">2020-06-24T11:14:00Z</dcterms:created>
  <dcterms:modified xsi:type="dcterms:W3CDTF">2024-03-13T14:46:00Z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