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FB29B3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FB29B3" w:rsidTr="006C3BD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 w:rsidRPr="00FB2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52309" w:rsidRPr="00FB29B3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745E63" w:rsidRDefault="00752309" w:rsidP="00745E63">
            <w:pPr>
              <w:tabs>
                <w:tab w:val="left" w:pos="561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Pr="0046502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коду </w:t>
            </w:r>
            <w:r w:rsidR="00745E63" w:rsidRPr="007F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ДК 021:2015: 15330000-0 Оброблені фрукти та овочі</w:t>
            </w:r>
            <w:bookmarkStart w:id="0" w:name="_GoBack"/>
            <w:bookmarkEnd w:id="0"/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</w:t>
      </w:r>
      <w:r w:rsidR="002464B2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667"/>
        <w:gridCol w:w="2322"/>
        <w:gridCol w:w="3798"/>
      </w:tblGrid>
      <w:tr w:rsidR="00752309" w:rsidRPr="00745E6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745E6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 w:rsidRPr="00FB29B3">
              <w:rPr>
                <w:color w:val="000000"/>
              </w:rPr>
              <w:lastRenderedPageBreak/>
              <w:t>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</w:t>
            </w:r>
            <w:r w:rsidRPr="00FB29B3">
              <w:rPr>
                <w:color w:val="000000"/>
              </w:rPr>
              <w:lastRenderedPageBreak/>
              <w:t xml:space="preserve">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745E6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      </w:r>
            <w:r w:rsidR="00F40F3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lastRenderedPageBreak/>
              <w:t>воєнного стану” та листа НАЗК від 31.05.2022 р. № 23-06/12865-22 “Про розгляд листа та надання 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FB29B3">
              <w:rPr>
                <w:color w:val="000000"/>
              </w:rPr>
              <w:lastRenderedPageBreak/>
              <w:t>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Переможець процедури закупівлі має надати повний витяг</w:t>
            </w:r>
            <w:r w:rsidR="00F40F39"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притягнення до кримінальної </w:t>
            </w:r>
            <w:r w:rsidR="00F40F39"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</w:t>
            </w:r>
            <w:r w:rsidR="00752309" w:rsidRPr="00FB29B3">
              <w:rPr>
                <w:color w:val="000000"/>
              </w:rPr>
              <w:t>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 xml:space="preserve">пункт 7 </w:t>
            </w:r>
            <w:r w:rsidRPr="00FB29B3">
              <w:rPr>
                <w:color w:val="000000"/>
              </w:rPr>
              <w:lastRenderedPageBreak/>
              <w:t>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 xml:space="preserve">тендерна пропозиція подана учасником конкурентної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      </w:r>
            <w:r w:rsidR="00BB399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FB29B3">
              <w:rPr>
                <w:color w:val="000000"/>
              </w:rPr>
              <w:t>, ви</w:t>
            </w:r>
            <w:r w:rsidRPr="00FB29B3">
              <w:rPr>
                <w:color w:val="000000"/>
              </w:rPr>
              <w:t>да</w:t>
            </w:r>
            <w:r w:rsidR="00BB3999" w:rsidRPr="00FB29B3">
              <w:rPr>
                <w:color w:val="000000"/>
              </w:rPr>
              <w:t>ний міжрегіональним управлінням</w:t>
            </w:r>
            <w:r w:rsidRPr="00FB29B3"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752309" w:rsidRPr="00745E6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FB29B3" w:rsidRDefault="00752309"/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 w:rsidRPr="00FB29B3">
              <w:rPr>
                <w:color w:val="000000"/>
              </w:rPr>
              <w:lastRenderedPageBreak/>
              <w:t>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FB29B3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FB29B3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745E6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</w:t>
            </w:r>
            <w:r w:rsidRPr="00FB29B3">
              <w:rPr>
                <w:color w:val="000000"/>
              </w:rPr>
              <w:lastRenderedPageBreak/>
              <w:t>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</w:t>
            </w:r>
            <w:r w:rsidRPr="00FB29B3">
              <w:rPr>
                <w:color w:val="000000"/>
              </w:rPr>
              <w:lastRenderedPageBreak/>
              <w:t>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Pr="00FB29B3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</w:t>
            </w:r>
            <w:r w:rsidRPr="00FB29B3">
              <w:rPr>
                <w:color w:val="000000"/>
              </w:rPr>
              <w:lastRenderedPageBreak/>
              <w:t>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</w:t>
            </w:r>
            <w:r w:rsidRPr="00FB29B3">
              <w:rPr>
                <w:color w:val="000000"/>
              </w:rPr>
              <w:lastRenderedPageBreak/>
              <w:t>дати дострокового розірвання такого договору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FB29B3" w:rsidRDefault="00471D2E" w:rsidP="00471D2E">
      <w:pPr>
        <w:jc w:val="both"/>
        <w:rPr>
          <w:lang w:val="uk-UA"/>
        </w:rPr>
      </w:pPr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752309" w:rsidRPr="00FB29B3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FB29B3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FB29B3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745E63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дату і номер запису в Єдиному державному реєстрі юридичних осіб, фізичних осіб - </w:t>
            </w: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9"/>
    <w:rsid w:val="0019016F"/>
    <w:rsid w:val="002464B2"/>
    <w:rsid w:val="00465021"/>
    <w:rsid w:val="00471D2E"/>
    <w:rsid w:val="004C1C1F"/>
    <w:rsid w:val="00666D23"/>
    <w:rsid w:val="006B5B49"/>
    <w:rsid w:val="007130CB"/>
    <w:rsid w:val="00745E63"/>
    <w:rsid w:val="00752309"/>
    <w:rsid w:val="009E1C93"/>
    <w:rsid w:val="00B2741B"/>
    <w:rsid w:val="00BB3999"/>
    <w:rsid w:val="00F40F39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AB18-AA0A-483D-B644-5FA51FA4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Пользователь Windows</cp:lastModifiedBy>
  <cp:revision>4</cp:revision>
  <dcterms:created xsi:type="dcterms:W3CDTF">2022-12-24T18:32:00Z</dcterms:created>
  <dcterms:modified xsi:type="dcterms:W3CDTF">2022-12-28T11:54:00Z</dcterms:modified>
</cp:coreProperties>
</file>